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D7A" w:rsidRDefault="00C13D7A">
      <w:pPr>
        <w:pStyle w:val="af1"/>
        <w:rPr>
          <w:sz w:val="44"/>
        </w:rPr>
      </w:pPr>
      <w:bookmarkStart w:id="0" w:name="_Toc23339946"/>
      <w:bookmarkStart w:id="1" w:name="_Toc23339684"/>
    </w:p>
    <w:p w:rsidR="00C13D7A" w:rsidRDefault="00933E15">
      <w:bookmarkStart w:id="2" w:name="_Toc38615307"/>
      <w:bookmarkStart w:id="3" w:name="_Toc38616971"/>
      <w:bookmarkStart w:id="4" w:name="_Toc38615452"/>
      <w:bookmarkStart w:id="5" w:name="_Toc38620549"/>
      <w:bookmarkStart w:id="6" w:name="_Toc38615483"/>
      <w:bookmarkStart w:id="7" w:name="_Toc70233238"/>
      <w:bookmarkStart w:id="8" w:name="_Toc38619360"/>
      <w:bookmarkStart w:id="9" w:name="_Toc39764157"/>
      <w:bookmarkStart w:id="10" w:name="_Toc38615344"/>
      <w:bookmarkStart w:id="11" w:name="_Toc38616456"/>
      <w:r>
        <w:rPr>
          <w:rFonts w:ascii="宋体" w:hAnsi="宋体" w:cs="宋体"/>
          <w:noProof/>
          <w:kern w:val="0"/>
          <w:sz w:val="24"/>
        </w:rPr>
        <w:drawing>
          <wp:anchor distT="0" distB="0" distL="114300" distR="114300" simplePos="0" relativeHeight="251660288" behindDoc="0" locked="0" layoutInCell="1" allowOverlap="1">
            <wp:simplePos x="0" y="0"/>
            <wp:positionH relativeFrom="margin">
              <wp:posOffset>906780</wp:posOffset>
            </wp:positionH>
            <wp:positionV relativeFrom="margin">
              <wp:posOffset>619125</wp:posOffset>
            </wp:positionV>
            <wp:extent cx="3351530" cy="790575"/>
            <wp:effectExtent l="0" t="0" r="1270" b="952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51530" cy="790575"/>
                    </a:xfrm>
                    <a:prstGeom prst="rect">
                      <a:avLst/>
                    </a:prstGeom>
                    <a:noFill/>
                  </pic:spPr>
                </pic:pic>
              </a:graphicData>
            </a:graphic>
          </wp:anchor>
        </w:drawing>
      </w:r>
      <w:bookmarkEnd w:id="2"/>
      <w:bookmarkEnd w:id="3"/>
      <w:bookmarkEnd w:id="4"/>
      <w:bookmarkEnd w:id="5"/>
      <w:bookmarkEnd w:id="6"/>
      <w:bookmarkEnd w:id="7"/>
      <w:bookmarkEnd w:id="8"/>
      <w:bookmarkEnd w:id="9"/>
      <w:bookmarkEnd w:id="10"/>
      <w:bookmarkEnd w:id="11"/>
    </w:p>
    <w:p w:rsidR="00C13D7A" w:rsidRDefault="00C13D7A">
      <w:pPr>
        <w:pStyle w:val="af1"/>
        <w:ind w:firstLineChars="250" w:firstLine="1101"/>
        <w:jc w:val="left"/>
        <w:rPr>
          <w:sz w:val="44"/>
        </w:rPr>
      </w:pPr>
    </w:p>
    <w:p w:rsidR="00C13D7A" w:rsidRDefault="00C13D7A">
      <w:pPr>
        <w:pStyle w:val="2"/>
        <w:ind w:leftChars="0" w:left="0" w:firstLineChars="0" w:firstLine="0"/>
      </w:pPr>
    </w:p>
    <w:p w:rsidR="00C13D7A" w:rsidRDefault="00C13D7A">
      <w:pPr>
        <w:pStyle w:val="2"/>
        <w:ind w:leftChars="0" w:left="0" w:firstLineChars="0" w:firstLine="0"/>
        <w:rPr>
          <w:rFonts w:ascii="黑体" w:eastAsia="黑体" w:hAnsi="黑体"/>
          <w:sz w:val="44"/>
          <w:szCs w:val="44"/>
        </w:rPr>
      </w:pPr>
    </w:p>
    <w:p w:rsidR="00C13D7A" w:rsidRDefault="00933E15">
      <w:pPr>
        <w:pStyle w:val="af1"/>
        <w:rPr>
          <w:rFonts w:ascii="黑体" w:eastAsia="黑体" w:hAnsi="黑体"/>
          <w:b w:val="0"/>
          <w:sz w:val="44"/>
          <w:szCs w:val="44"/>
        </w:rPr>
      </w:pPr>
      <w:bookmarkStart w:id="12" w:name="_Toc38615345"/>
      <w:bookmarkStart w:id="13" w:name="_Toc38615453"/>
      <w:bookmarkStart w:id="14" w:name="_Toc38615308"/>
      <w:bookmarkStart w:id="15" w:name="_Toc38616457"/>
      <w:bookmarkStart w:id="16" w:name="_Toc38615484"/>
      <w:bookmarkStart w:id="17" w:name="_Toc38620550"/>
      <w:bookmarkStart w:id="18" w:name="_Toc38616972"/>
      <w:bookmarkStart w:id="19" w:name="_Toc157583832"/>
      <w:bookmarkStart w:id="20" w:name="_Toc38619361"/>
      <w:bookmarkStart w:id="21" w:name="_Toc39764158"/>
      <w:bookmarkStart w:id="22" w:name="_Toc70233239"/>
      <w:r>
        <w:rPr>
          <w:rFonts w:ascii="黑体" w:eastAsia="黑体" w:hAnsi="黑体" w:hint="eastAsia"/>
          <w:b w:val="0"/>
          <w:sz w:val="44"/>
          <w:szCs w:val="44"/>
        </w:rPr>
        <w:t>浙江德清</w:t>
      </w:r>
      <w:r>
        <w:rPr>
          <w:rFonts w:ascii="黑体" w:eastAsia="黑体" w:hAnsi="黑体"/>
          <w:b w:val="0"/>
          <w:sz w:val="44"/>
          <w:szCs w:val="44"/>
        </w:rPr>
        <w:t>农村商业</w:t>
      </w:r>
      <w:r>
        <w:rPr>
          <w:rFonts w:ascii="黑体" w:eastAsia="黑体" w:hAnsi="黑体" w:hint="eastAsia"/>
          <w:b w:val="0"/>
          <w:sz w:val="44"/>
          <w:szCs w:val="44"/>
        </w:rPr>
        <w:t>银行股份</w:t>
      </w:r>
      <w:r>
        <w:rPr>
          <w:rFonts w:ascii="黑体" w:eastAsia="黑体" w:hAnsi="黑体"/>
          <w:b w:val="0"/>
          <w:sz w:val="44"/>
          <w:szCs w:val="44"/>
        </w:rPr>
        <w:t>有限公司</w:t>
      </w:r>
      <w:bookmarkEnd w:id="12"/>
      <w:bookmarkEnd w:id="13"/>
      <w:bookmarkEnd w:id="14"/>
      <w:bookmarkEnd w:id="15"/>
      <w:bookmarkEnd w:id="16"/>
      <w:bookmarkEnd w:id="17"/>
      <w:bookmarkEnd w:id="18"/>
      <w:bookmarkEnd w:id="19"/>
      <w:bookmarkEnd w:id="20"/>
      <w:bookmarkEnd w:id="21"/>
      <w:bookmarkEnd w:id="22"/>
    </w:p>
    <w:p w:rsidR="00C13D7A" w:rsidRDefault="00933E15">
      <w:pPr>
        <w:pStyle w:val="af1"/>
        <w:rPr>
          <w:rFonts w:ascii="黑体" w:eastAsia="黑体" w:hAnsi="黑体"/>
          <w:b w:val="0"/>
          <w:sz w:val="44"/>
          <w:szCs w:val="44"/>
        </w:rPr>
      </w:pPr>
      <w:bookmarkStart w:id="23" w:name="_Toc38615346"/>
      <w:bookmarkStart w:id="24" w:name="_Toc38616973"/>
      <w:bookmarkStart w:id="25" w:name="_Toc39764159"/>
      <w:bookmarkStart w:id="26" w:name="_Toc38615454"/>
      <w:bookmarkStart w:id="27" w:name="_Toc70233240"/>
      <w:bookmarkStart w:id="28" w:name="_Toc38616458"/>
      <w:bookmarkStart w:id="29" w:name="_Toc38615309"/>
      <w:bookmarkStart w:id="30" w:name="_Toc38615485"/>
      <w:bookmarkStart w:id="31" w:name="_Toc157583833"/>
      <w:bookmarkStart w:id="32" w:name="_Toc38619362"/>
      <w:r>
        <w:rPr>
          <w:rFonts w:ascii="黑体" w:eastAsia="黑体" w:hAnsi="黑体"/>
          <w:b w:val="0"/>
          <w:sz w:val="44"/>
          <w:szCs w:val="44"/>
        </w:rPr>
        <w:t>202</w:t>
      </w:r>
      <w:r w:rsidR="006416CF">
        <w:rPr>
          <w:rFonts w:ascii="黑体" w:eastAsia="黑体" w:hAnsi="黑体"/>
          <w:b w:val="0"/>
          <w:sz w:val="44"/>
          <w:szCs w:val="44"/>
        </w:rPr>
        <w:t>4</w:t>
      </w:r>
      <w:r>
        <w:rPr>
          <w:rFonts w:ascii="黑体" w:eastAsia="黑体" w:hAnsi="黑体" w:hint="eastAsia"/>
          <w:b w:val="0"/>
          <w:sz w:val="44"/>
          <w:szCs w:val="44"/>
        </w:rPr>
        <w:t>年度</w:t>
      </w:r>
      <w:r>
        <w:rPr>
          <w:rFonts w:ascii="黑体" w:eastAsia="黑体" w:hAnsi="黑体"/>
          <w:b w:val="0"/>
          <w:sz w:val="44"/>
          <w:szCs w:val="44"/>
        </w:rPr>
        <w:t>环境信息披露报告</w:t>
      </w:r>
      <w:bookmarkEnd w:id="23"/>
      <w:bookmarkEnd w:id="24"/>
      <w:bookmarkEnd w:id="25"/>
      <w:bookmarkEnd w:id="26"/>
      <w:bookmarkEnd w:id="27"/>
      <w:bookmarkEnd w:id="28"/>
      <w:bookmarkEnd w:id="29"/>
      <w:bookmarkEnd w:id="30"/>
      <w:bookmarkEnd w:id="31"/>
      <w:bookmarkEnd w:id="32"/>
    </w:p>
    <w:p w:rsidR="00C13D7A" w:rsidRDefault="00C13D7A">
      <w:pPr>
        <w:rPr>
          <w:rFonts w:ascii="黑体" w:eastAsia="黑体" w:hAnsi="黑体"/>
          <w:sz w:val="44"/>
          <w:szCs w:val="44"/>
        </w:rPr>
      </w:pPr>
    </w:p>
    <w:p w:rsidR="00C13D7A" w:rsidRDefault="00C13D7A">
      <w:pPr>
        <w:pStyle w:val="2"/>
        <w:ind w:firstLine="880"/>
        <w:rPr>
          <w:rFonts w:ascii="黑体" w:eastAsia="黑体" w:hAnsi="黑体"/>
          <w:sz w:val="44"/>
          <w:szCs w:val="44"/>
        </w:rPr>
      </w:pPr>
    </w:p>
    <w:p w:rsidR="00C13D7A" w:rsidRDefault="00C13D7A">
      <w:pPr>
        <w:pStyle w:val="2"/>
        <w:ind w:firstLine="880"/>
        <w:rPr>
          <w:rFonts w:ascii="黑体" w:eastAsia="黑体" w:hAnsi="黑体"/>
          <w:sz w:val="44"/>
          <w:szCs w:val="44"/>
        </w:rPr>
      </w:pPr>
    </w:p>
    <w:p w:rsidR="00C13D7A" w:rsidRDefault="00C13D7A">
      <w:pPr>
        <w:pStyle w:val="2"/>
        <w:ind w:firstLine="880"/>
        <w:rPr>
          <w:rFonts w:ascii="黑体" w:eastAsia="黑体" w:hAnsi="黑体"/>
          <w:sz w:val="44"/>
          <w:szCs w:val="44"/>
        </w:rPr>
      </w:pPr>
    </w:p>
    <w:p w:rsidR="00C13D7A" w:rsidRDefault="00C13D7A">
      <w:pPr>
        <w:pStyle w:val="2"/>
        <w:ind w:firstLine="880"/>
        <w:rPr>
          <w:rFonts w:ascii="黑体" w:eastAsia="黑体" w:hAnsi="黑体"/>
          <w:sz w:val="44"/>
          <w:szCs w:val="44"/>
        </w:rPr>
      </w:pPr>
    </w:p>
    <w:p w:rsidR="00C13D7A" w:rsidRDefault="00C13D7A">
      <w:pPr>
        <w:pStyle w:val="2"/>
        <w:ind w:firstLine="880"/>
        <w:rPr>
          <w:rFonts w:ascii="黑体" w:eastAsia="黑体" w:hAnsi="黑体"/>
          <w:sz w:val="44"/>
          <w:szCs w:val="44"/>
        </w:rPr>
      </w:pPr>
    </w:p>
    <w:p w:rsidR="00C13D7A" w:rsidRDefault="00C13D7A">
      <w:pPr>
        <w:pStyle w:val="2"/>
        <w:ind w:leftChars="0" w:left="0" w:firstLineChars="0" w:firstLine="0"/>
        <w:rPr>
          <w:rFonts w:ascii="黑体" w:eastAsia="黑体" w:hAnsi="黑体"/>
          <w:sz w:val="44"/>
          <w:szCs w:val="44"/>
        </w:rPr>
      </w:pPr>
    </w:p>
    <w:p w:rsidR="00C13D7A" w:rsidRDefault="00C13D7A">
      <w:pPr>
        <w:pStyle w:val="2"/>
        <w:ind w:firstLine="880"/>
        <w:rPr>
          <w:rFonts w:ascii="黑体" w:eastAsia="黑体" w:hAnsi="黑体"/>
          <w:sz w:val="44"/>
          <w:szCs w:val="44"/>
        </w:rPr>
      </w:pPr>
    </w:p>
    <w:p w:rsidR="00C13D7A" w:rsidRDefault="00C13D7A">
      <w:pPr>
        <w:pStyle w:val="2"/>
        <w:ind w:leftChars="0" w:left="0" w:firstLineChars="0" w:firstLine="0"/>
        <w:rPr>
          <w:rFonts w:ascii="黑体" w:eastAsia="黑体" w:hAnsi="黑体"/>
          <w:sz w:val="44"/>
          <w:szCs w:val="44"/>
        </w:rPr>
      </w:pPr>
    </w:p>
    <w:p w:rsidR="00C13D7A" w:rsidRDefault="00933E15">
      <w:pPr>
        <w:pStyle w:val="2"/>
        <w:ind w:leftChars="0" w:left="0" w:firstLineChars="0" w:firstLine="0"/>
        <w:jc w:val="center"/>
        <w:rPr>
          <w:rFonts w:ascii="黑体" w:eastAsia="黑体" w:hAnsi="黑体"/>
          <w:sz w:val="44"/>
          <w:szCs w:val="44"/>
        </w:rPr>
      </w:pPr>
      <w:r>
        <w:rPr>
          <w:rFonts w:ascii="黑体" w:eastAsia="黑体" w:hAnsi="黑体" w:hint="eastAsia"/>
          <w:sz w:val="44"/>
          <w:szCs w:val="44"/>
        </w:rPr>
        <w:t>202</w:t>
      </w:r>
      <w:r w:rsidR="006416CF">
        <w:rPr>
          <w:rFonts w:ascii="黑体" w:eastAsia="黑体" w:hAnsi="黑体"/>
          <w:sz w:val="44"/>
          <w:szCs w:val="44"/>
        </w:rPr>
        <w:t>5</w:t>
      </w:r>
      <w:r>
        <w:rPr>
          <w:rFonts w:ascii="黑体" w:eastAsia="黑体" w:hAnsi="黑体" w:hint="eastAsia"/>
          <w:sz w:val="44"/>
          <w:szCs w:val="44"/>
        </w:rPr>
        <w:t>年</w:t>
      </w:r>
      <w:r w:rsidR="006416CF">
        <w:rPr>
          <w:rFonts w:ascii="黑体" w:eastAsia="黑体" w:hAnsi="黑体"/>
          <w:sz w:val="44"/>
          <w:szCs w:val="44"/>
        </w:rPr>
        <w:t>3</w:t>
      </w:r>
      <w:r>
        <w:rPr>
          <w:rFonts w:ascii="黑体" w:eastAsia="黑体" w:hAnsi="黑体" w:hint="eastAsia"/>
          <w:sz w:val="44"/>
          <w:szCs w:val="44"/>
        </w:rPr>
        <w:t>月</w:t>
      </w:r>
    </w:p>
    <w:p w:rsidR="00C13D7A" w:rsidRDefault="00C13D7A">
      <w:pPr>
        <w:pStyle w:val="2"/>
      </w:pPr>
    </w:p>
    <w:p w:rsidR="00C13D7A" w:rsidRDefault="00C13D7A">
      <w:pPr>
        <w:pStyle w:val="2"/>
      </w:pPr>
    </w:p>
    <w:p w:rsidR="00C13D7A" w:rsidRDefault="00C13D7A">
      <w:pPr>
        <w:pStyle w:val="2"/>
      </w:pPr>
    </w:p>
    <w:sdt>
      <w:sdtPr>
        <w:rPr>
          <w:rFonts w:ascii="Times New Roman" w:eastAsia="宋体" w:hAnsi="Times New Roman" w:cs="Times New Roman"/>
          <w:color w:val="auto"/>
          <w:kern w:val="2"/>
          <w:sz w:val="21"/>
          <w:szCs w:val="24"/>
          <w:lang w:val="zh-CN"/>
        </w:rPr>
        <w:id w:val="636690675"/>
        <w:docPartObj>
          <w:docPartGallery w:val="Table of Contents"/>
          <w:docPartUnique/>
        </w:docPartObj>
      </w:sdtPr>
      <w:sdtEndPr>
        <w:rPr>
          <w:rFonts w:ascii="仿宋_GB2312" w:eastAsia="仿宋_GB2312" w:hint="eastAsia"/>
          <w:bCs/>
        </w:rPr>
      </w:sdtEndPr>
      <w:sdtContent>
        <w:p w:rsidR="00C13D7A" w:rsidRDefault="00933E15">
          <w:pPr>
            <w:pStyle w:val="TOC10"/>
            <w:jc w:val="center"/>
            <w:rPr>
              <w:rFonts w:ascii="黑体" w:eastAsia="黑体" w:hAnsi="黑体"/>
              <w:color w:val="auto"/>
              <w:sz w:val="44"/>
              <w:szCs w:val="44"/>
            </w:rPr>
          </w:pPr>
          <w:r>
            <w:rPr>
              <w:rFonts w:ascii="黑体" w:eastAsia="黑体" w:hAnsi="黑体"/>
              <w:color w:val="auto"/>
              <w:sz w:val="44"/>
              <w:szCs w:val="44"/>
              <w:lang w:val="zh-CN"/>
            </w:rPr>
            <w:t>目录</w:t>
          </w:r>
        </w:p>
        <w:p w:rsidR="00C13D7A" w:rsidRDefault="00933E15">
          <w:pPr>
            <w:pStyle w:val="TOC1"/>
            <w:tabs>
              <w:tab w:val="right" w:leader="dot" w:pos="8302"/>
            </w:tabs>
            <w:rPr>
              <w:rFonts w:asciiTheme="minorHAnsi" w:eastAsiaTheme="minorEastAsia" w:hAnsiTheme="minorHAnsi" w:cstheme="minorBidi"/>
              <w:szCs w:val="22"/>
            </w:rPr>
          </w:pPr>
          <w:r>
            <w:rPr>
              <w:rFonts w:ascii="仿宋_GB2312" w:eastAsia="仿宋_GB2312" w:hAnsi="宋体" w:hint="eastAsia"/>
            </w:rPr>
            <w:fldChar w:fldCharType="begin"/>
          </w:r>
          <w:r>
            <w:rPr>
              <w:rFonts w:ascii="仿宋_GB2312" w:eastAsia="仿宋_GB2312" w:hAnsi="宋体" w:hint="eastAsia"/>
            </w:rPr>
            <w:instrText xml:space="preserve"> TOC \o "1-4" \h \z \u </w:instrText>
          </w:r>
          <w:r>
            <w:rPr>
              <w:rFonts w:ascii="仿宋_GB2312" w:eastAsia="仿宋_GB2312" w:hAnsi="宋体" w:hint="eastAsia"/>
            </w:rPr>
            <w:fldChar w:fldCharType="separate"/>
          </w:r>
          <w:hyperlink w:anchor="_Toc157583832" w:history="1">
            <w:r>
              <w:rPr>
                <w:rStyle w:val="af4"/>
                <w:rFonts w:ascii="黑体" w:eastAsia="黑体" w:hAnsi="黑体"/>
              </w:rPr>
              <w:t>浙江德清农村商业银行股份有限公司</w:t>
            </w:r>
            <w:r>
              <w:tab/>
            </w:r>
            <w:r>
              <w:fldChar w:fldCharType="begin"/>
            </w:r>
            <w:r>
              <w:instrText xml:space="preserve"> PAGEREF _Toc157583832 \h </w:instrText>
            </w:r>
            <w:r>
              <w:fldChar w:fldCharType="separate"/>
            </w:r>
            <w:r>
              <w:t>1</w:t>
            </w:r>
            <w:r>
              <w:fldChar w:fldCharType="end"/>
            </w:r>
          </w:hyperlink>
        </w:p>
        <w:p w:rsidR="00C13D7A" w:rsidRDefault="00F62BF0">
          <w:pPr>
            <w:pStyle w:val="TOC1"/>
            <w:tabs>
              <w:tab w:val="right" w:leader="dot" w:pos="8302"/>
            </w:tabs>
            <w:rPr>
              <w:rFonts w:asciiTheme="minorHAnsi" w:eastAsiaTheme="minorEastAsia" w:hAnsiTheme="minorHAnsi" w:cstheme="minorBidi"/>
              <w:szCs w:val="22"/>
            </w:rPr>
          </w:pPr>
          <w:hyperlink w:anchor="_Toc157583833" w:history="1">
            <w:r w:rsidR="00933E15">
              <w:rPr>
                <w:rStyle w:val="af4"/>
                <w:rFonts w:ascii="黑体" w:eastAsia="黑体" w:hAnsi="黑体"/>
              </w:rPr>
              <w:t>2023年度环境信息披露报告</w:t>
            </w:r>
            <w:r w:rsidR="00933E15">
              <w:tab/>
            </w:r>
            <w:r w:rsidR="00933E15">
              <w:fldChar w:fldCharType="begin"/>
            </w:r>
            <w:r w:rsidR="00933E15">
              <w:instrText xml:space="preserve"> PAGEREF _Toc157583833 \h </w:instrText>
            </w:r>
            <w:r w:rsidR="00933E15">
              <w:fldChar w:fldCharType="separate"/>
            </w:r>
            <w:r w:rsidR="00933E15">
              <w:t>1</w:t>
            </w:r>
            <w:r w:rsidR="00933E15">
              <w:fldChar w:fldCharType="end"/>
            </w:r>
          </w:hyperlink>
        </w:p>
        <w:p w:rsidR="00C13D7A" w:rsidRDefault="00F62BF0">
          <w:pPr>
            <w:pStyle w:val="TOC1"/>
            <w:tabs>
              <w:tab w:val="right" w:leader="dot" w:pos="8302"/>
            </w:tabs>
            <w:rPr>
              <w:rFonts w:asciiTheme="minorHAnsi" w:eastAsiaTheme="minorEastAsia" w:hAnsiTheme="minorHAnsi" w:cstheme="minorBidi"/>
              <w:szCs w:val="22"/>
            </w:rPr>
          </w:pPr>
          <w:hyperlink w:anchor="_Toc157583834" w:history="1">
            <w:r w:rsidR="00933E15">
              <w:rPr>
                <w:rStyle w:val="af4"/>
                <w:b/>
              </w:rPr>
              <w:t>1</w:t>
            </w:r>
            <w:r w:rsidR="00933E15">
              <w:rPr>
                <w:rStyle w:val="af4"/>
                <w:rFonts w:hAnsi="黑体"/>
                <w:b/>
              </w:rPr>
              <w:t xml:space="preserve"> </w:t>
            </w:r>
            <w:r w:rsidR="00933E15">
              <w:rPr>
                <w:rStyle w:val="af4"/>
                <w:rFonts w:hAnsi="黑体"/>
                <w:b/>
              </w:rPr>
              <w:t>关于本报告</w:t>
            </w:r>
            <w:r w:rsidR="00933E15">
              <w:tab/>
            </w:r>
            <w:r w:rsidR="00933E15">
              <w:fldChar w:fldCharType="begin"/>
            </w:r>
            <w:r w:rsidR="00933E15">
              <w:instrText xml:space="preserve"> PAGEREF _Toc157583834 \h </w:instrText>
            </w:r>
            <w:r w:rsidR="00933E15">
              <w:fldChar w:fldCharType="separate"/>
            </w:r>
            <w:r w:rsidR="00933E15">
              <w:t>4</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35" w:history="1">
            <w:r w:rsidR="00933E15">
              <w:rPr>
                <w:rStyle w:val="af4"/>
              </w:rPr>
              <w:t>1.1 涵盖期间</w:t>
            </w:r>
            <w:r w:rsidR="00933E15">
              <w:tab/>
            </w:r>
            <w:r w:rsidR="00933E15">
              <w:fldChar w:fldCharType="begin"/>
            </w:r>
            <w:r w:rsidR="00933E15">
              <w:instrText xml:space="preserve"> PAGEREF _Toc157583835 \h </w:instrText>
            </w:r>
            <w:r w:rsidR="00933E15">
              <w:fldChar w:fldCharType="separate"/>
            </w:r>
            <w:r w:rsidR="00933E15">
              <w:t>5</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36" w:history="1">
            <w:r w:rsidR="00933E15">
              <w:rPr>
                <w:rStyle w:val="af4"/>
              </w:rPr>
              <w:t>1.2 报告周期</w:t>
            </w:r>
            <w:r w:rsidR="00933E15">
              <w:tab/>
            </w:r>
            <w:r w:rsidR="00933E15">
              <w:fldChar w:fldCharType="begin"/>
            </w:r>
            <w:r w:rsidR="00933E15">
              <w:instrText xml:space="preserve"> PAGEREF _Toc157583836 \h </w:instrText>
            </w:r>
            <w:r w:rsidR="00933E15">
              <w:fldChar w:fldCharType="separate"/>
            </w:r>
            <w:r w:rsidR="00933E15">
              <w:t>5</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37" w:history="1">
            <w:r w:rsidR="00933E15">
              <w:rPr>
                <w:rStyle w:val="af4"/>
              </w:rPr>
              <w:t>1.3 报告范围</w:t>
            </w:r>
            <w:r w:rsidR="00933E15">
              <w:tab/>
            </w:r>
            <w:r w:rsidR="00933E15">
              <w:fldChar w:fldCharType="begin"/>
            </w:r>
            <w:r w:rsidR="00933E15">
              <w:instrText xml:space="preserve"> PAGEREF _Toc157583837 \h </w:instrText>
            </w:r>
            <w:r w:rsidR="00933E15">
              <w:fldChar w:fldCharType="separate"/>
            </w:r>
            <w:r w:rsidR="00933E15">
              <w:t>5</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38" w:history="1">
            <w:r w:rsidR="00933E15">
              <w:rPr>
                <w:rStyle w:val="af4"/>
                <w:lang w:bidi="zh-CN"/>
              </w:rPr>
              <w:t>1.4 报告数据说明</w:t>
            </w:r>
            <w:r w:rsidR="00933E15">
              <w:tab/>
            </w:r>
            <w:r w:rsidR="00933E15">
              <w:fldChar w:fldCharType="begin"/>
            </w:r>
            <w:r w:rsidR="00933E15">
              <w:instrText xml:space="preserve"> PAGEREF _Toc157583838 \h </w:instrText>
            </w:r>
            <w:r w:rsidR="00933E15">
              <w:fldChar w:fldCharType="separate"/>
            </w:r>
            <w:r w:rsidR="00933E15">
              <w:t>5</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39" w:history="1">
            <w:r w:rsidR="00933E15">
              <w:rPr>
                <w:rStyle w:val="af4"/>
              </w:rPr>
              <w:t>1.5 编制依据</w:t>
            </w:r>
            <w:r w:rsidR="00933E15">
              <w:tab/>
            </w:r>
            <w:r w:rsidR="00933E15">
              <w:fldChar w:fldCharType="begin"/>
            </w:r>
            <w:r w:rsidR="00933E15">
              <w:instrText xml:space="preserve"> PAGEREF _Toc157583839 \h </w:instrText>
            </w:r>
            <w:r w:rsidR="00933E15">
              <w:fldChar w:fldCharType="separate"/>
            </w:r>
            <w:r w:rsidR="00933E15">
              <w:t>5</w:t>
            </w:r>
            <w:r w:rsidR="00933E15">
              <w:fldChar w:fldCharType="end"/>
            </w:r>
          </w:hyperlink>
        </w:p>
        <w:p w:rsidR="00C13D7A" w:rsidRDefault="00F62BF0">
          <w:pPr>
            <w:pStyle w:val="TOC1"/>
            <w:tabs>
              <w:tab w:val="right" w:leader="dot" w:pos="8302"/>
            </w:tabs>
            <w:rPr>
              <w:rFonts w:asciiTheme="minorHAnsi" w:eastAsiaTheme="minorEastAsia" w:hAnsiTheme="minorHAnsi" w:cstheme="minorBidi"/>
              <w:szCs w:val="22"/>
            </w:rPr>
          </w:pPr>
          <w:hyperlink w:anchor="_Toc157583840" w:history="1">
            <w:r w:rsidR="00933E15">
              <w:rPr>
                <w:rStyle w:val="af4"/>
                <w:b/>
              </w:rPr>
              <w:t>2</w:t>
            </w:r>
            <w:r w:rsidR="00933E15">
              <w:rPr>
                <w:rStyle w:val="af4"/>
                <w:rFonts w:hAnsi="黑体"/>
                <w:b/>
              </w:rPr>
              <w:t xml:space="preserve"> </w:t>
            </w:r>
            <w:r w:rsidR="00933E15">
              <w:rPr>
                <w:rStyle w:val="af4"/>
                <w:rFonts w:hAnsi="黑体"/>
                <w:b/>
              </w:rPr>
              <w:t>年度概况</w:t>
            </w:r>
            <w:r w:rsidR="00933E15">
              <w:tab/>
            </w:r>
            <w:r w:rsidR="00933E15">
              <w:fldChar w:fldCharType="begin"/>
            </w:r>
            <w:r w:rsidR="00933E15">
              <w:instrText xml:space="preserve"> PAGEREF _Toc157583840 \h </w:instrText>
            </w:r>
            <w:r w:rsidR="00933E15">
              <w:fldChar w:fldCharType="separate"/>
            </w:r>
            <w:r w:rsidR="00933E15">
              <w:t>5</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41" w:history="1">
            <w:r w:rsidR="00933E15">
              <w:rPr>
                <w:rStyle w:val="af4"/>
              </w:rPr>
              <w:t>2.1</w:t>
            </w:r>
            <w:r w:rsidR="00933E15">
              <w:rPr>
                <w:rStyle w:val="af4"/>
                <w:lang w:val="zh-TW" w:eastAsia="zh-TW"/>
              </w:rPr>
              <w:t xml:space="preserve"> 总体概况</w:t>
            </w:r>
            <w:r w:rsidR="00933E15">
              <w:tab/>
            </w:r>
            <w:r w:rsidR="00933E15">
              <w:fldChar w:fldCharType="begin"/>
            </w:r>
            <w:r w:rsidR="00933E15">
              <w:instrText xml:space="preserve"> PAGEREF _Toc157583841 \h </w:instrText>
            </w:r>
            <w:r w:rsidR="00933E15">
              <w:fldChar w:fldCharType="separate"/>
            </w:r>
            <w:r w:rsidR="00933E15">
              <w:t>5</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42" w:history="1">
            <w:r w:rsidR="00933E15">
              <w:rPr>
                <w:rStyle w:val="af4"/>
              </w:rPr>
              <w:t>2.1.1制定绿色发展战略规划</w:t>
            </w:r>
            <w:r w:rsidR="00933E15">
              <w:tab/>
            </w:r>
            <w:r w:rsidR="00933E15">
              <w:fldChar w:fldCharType="begin"/>
            </w:r>
            <w:r w:rsidR="00933E15">
              <w:instrText xml:space="preserve"> PAGEREF _Toc157583842 \h </w:instrText>
            </w:r>
            <w:r w:rsidR="00933E15">
              <w:fldChar w:fldCharType="separate"/>
            </w:r>
            <w:r w:rsidR="00933E15">
              <w:t>6</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43" w:history="1">
            <w:r w:rsidR="00933E15">
              <w:rPr>
                <w:rStyle w:val="af4"/>
              </w:rPr>
              <w:t>2.1.2</w:t>
            </w:r>
            <w:r w:rsidR="00933E15">
              <w:rPr>
                <w:rStyle w:val="af4"/>
                <w:rFonts w:ascii="仿宋_GB2312" w:eastAsia="仿宋_GB2312" w:hAnsi="黑体"/>
              </w:rPr>
              <w:t>建立绿色金融政策体系</w:t>
            </w:r>
            <w:r w:rsidR="00933E15">
              <w:tab/>
            </w:r>
            <w:r w:rsidR="00933E15">
              <w:fldChar w:fldCharType="begin"/>
            </w:r>
            <w:r w:rsidR="00933E15">
              <w:instrText xml:space="preserve"> PAGEREF _Toc157583843 \h </w:instrText>
            </w:r>
            <w:r w:rsidR="00933E15">
              <w:fldChar w:fldCharType="separate"/>
            </w:r>
            <w:r w:rsidR="00933E15">
              <w:t>6</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44" w:history="1">
            <w:r w:rsidR="00933E15">
              <w:rPr>
                <w:rStyle w:val="af4"/>
              </w:rPr>
              <w:t>2.1.3</w:t>
            </w:r>
            <w:r w:rsidR="00933E15">
              <w:rPr>
                <w:rStyle w:val="af4"/>
                <w:rFonts w:ascii="仿宋_GB2312" w:eastAsia="仿宋_GB2312" w:hAnsi="黑体"/>
              </w:rPr>
              <w:t>创新绿色金融产品服务</w:t>
            </w:r>
            <w:r w:rsidR="00933E15">
              <w:tab/>
            </w:r>
            <w:r w:rsidR="00933E15">
              <w:fldChar w:fldCharType="begin"/>
            </w:r>
            <w:r w:rsidR="00933E15">
              <w:instrText xml:space="preserve"> PAGEREF _Toc157583844 \h </w:instrText>
            </w:r>
            <w:r w:rsidR="00933E15">
              <w:fldChar w:fldCharType="separate"/>
            </w:r>
            <w:r w:rsidR="00933E15">
              <w:t>7</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45" w:history="1">
            <w:r w:rsidR="00933E15">
              <w:rPr>
                <w:rStyle w:val="af4"/>
                <w:lang w:val="zh-TW" w:eastAsia="zh-TW"/>
              </w:rPr>
              <w:t>2.2 关键成果绩效</w:t>
            </w:r>
            <w:r w:rsidR="00933E15">
              <w:tab/>
            </w:r>
            <w:r w:rsidR="00933E15">
              <w:fldChar w:fldCharType="begin"/>
            </w:r>
            <w:r w:rsidR="00933E15">
              <w:instrText xml:space="preserve"> PAGEREF _Toc157583845 \h </w:instrText>
            </w:r>
            <w:r w:rsidR="00933E15">
              <w:fldChar w:fldCharType="separate"/>
            </w:r>
            <w:r w:rsidR="00933E15">
              <w:t>8</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46" w:history="1">
            <w:r w:rsidR="00933E15">
              <w:rPr>
                <w:rStyle w:val="af4"/>
                <w:lang w:val="zh-TW" w:eastAsia="zh-TW"/>
              </w:rPr>
              <w:t>2.2.1绿色金融业务情况</w:t>
            </w:r>
            <w:r w:rsidR="00933E15">
              <w:tab/>
            </w:r>
            <w:r w:rsidR="00933E15">
              <w:fldChar w:fldCharType="begin"/>
            </w:r>
            <w:r w:rsidR="00933E15">
              <w:instrText xml:space="preserve"> PAGEREF _Toc157583846 \h </w:instrText>
            </w:r>
            <w:r w:rsidR="00933E15">
              <w:fldChar w:fldCharType="separate"/>
            </w:r>
            <w:r w:rsidR="00933E15">
              <w:t>8</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47" w:history="1">
            <w:r w:rsidR="00933E15">
              <w:rPr>
                <w:rStyle w:val="af4"/>
                <w:lang w:val="zh-TW" w:eastAsia="zh-TW"/>
              </w:rPr>
              <w:t>2.2.</w:t>
            </w:r>
            <w:r w:rsidR="00933E15">
              <w:rPr>
                <w:rStyle w:val="af4"/>
                <w:rFonts w:eastAsia="PMingLiU"/>
                <w:lang w:val="zh-TW" w:eastAsia="zh-TW"/>
              </w:rPr>
              <w:t>2</w:t>
            </w:r>
            <w:r w:rsidR="00933E15">
              <w:rPr>
                <w:rStyle w:val="af4"/>
                <w:lang w:val="zh-TW" w:eastAsia="zh-TW"/>
              </w:rPr>
              <w:t>绿色办公业务情况</w:t>
            </w:r>
            <w:r w:rsidR="00933E15">
              <w:tab/>
            </w:r>
            <w:r w:rsidR="00933E15">
              <w:fldChar w:fldCharType="begin"/>
            </w:r>
            <w:r w:rsidR="00933E15">
              <w:instrText xml:space="preserve"> PAGEREF _Toc157583847 \h </w:instrText>
            </w:r>
            <w:r w:rsidR="00933E15">
              <w:fldChar w:fldCharType="separate"/>
            </w:r>
            <w:r w:rsidR="00933E15">
              <w:t>8</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48" w:history="1">
            <w:r w:rsidR="00933E15">
              <w:rPr>
                <w:rStyle w:val="af4"/>
                <w:lang w:val="zh-TW" w:eastAsia="zh-TW"/>
              </w:rPr>
              <w:t>2.3 规划与目标</w:t>
            </w:r>
            <w:r w:rsidR="00933E15">
              <w:tab/>
            </w:r>
            <w:r w:rsidR="00933E15">
              <w:fldChar w:fldCharType="begin"/>
            </w:r>
            <w:r w:rsidR="00933E15">
              <w:instrText xml:space="preserve"> PAGEREF _Toc157583848 \h </w:instrText>
            </w:r>
            <w:r w:rsidR="00933E15">
              <w:fldChar w:fldCharType="separate"/>
            </w:r>
            <w:r w:rsidR="00933E15">
              <w:t>8</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49" w:history="1">
            <w:r w:rsidR="00933E15">
              <w:rPr>
                <w:rStyle w:val="af4"/>
                <w:lang w:val="zh-TW" w:eastAsia="zh-TW"/>
              </w:rPr>
              <w:t>2.3.1加大绿色信贷投放力度</w:t>
            </w:r>
            <w:r w:rsidR="00933E15">
              <w:tab/>
            </w:r>
            <w:r w:rsidR="00933E15">
              <w:fldChar w:fldCharType="begin"/>
            </w:r>
            <w:r w:rsidR="00933E15">
              <w:instrText xml:space="preserve"> PAGEREF _Toc157583849 \h </w:instrText>
            </w:r>
            <w:r w:rsidR="00933E15">
              <w:fldChar w:fldCharType="separate"/>
            </w:r>
            <w:r w:rsidR="00933E15">
              <w:t>8</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50" w:history="1">
            <w:r w:rsidR="00933E15">
              <w:rPr>
                <w:rStyle w:val="af4"/>
                <w:lang w:val="zh-TW" w:eastAsia="zh-TW"/>
              </w:rPr>
              <w:t>2.3.2挖掘转型金融发展深度</w:t>
            </w:r>
            <w:r w:rsidR="00933E15">
              <w:tab/>
            </w:r>
            <w:r w:rsidR="00933E15">
              <w:fldChar w:fldCharType="begin"/>
            </w:r>
            <w:r w:rsidR="00933E15">
              <w:instrText xml:space="preserve"> PAGEREF _Toc157583850 \h </w:instrText>
            </w:r>
            <w:r w:rsidR="00933E15">
              <w:fldChar w:fldCharType="separate"/>
            </w:r>
            <w:r w:rsidR="00933E15">
              <w:t>9</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51" w:history="1">
            <w:r w:rsidR="00933E15">
              <w:rPr>
                <w:rStyle w:val="af4"/>
                <w:lang w:val="zh-TW" w:eastAsia="zh-TW"/>
              </w:rPr>
              <w:t>2.3.3创新绿色金融服务模式</w:t>
            </w:r>
            <w:r w:rsidR="00933E15">
              <w:tab/>
            </w:r>
            <w:r w:rsidR="00933E15">
              <w:fldChar w:fldCharType="begin"/>
            </w:r>
            <w:r w:rsidR="00933E15">
              <w:instrText xml:space="preserve"> PAGEREF _Toc157583851 \h </w:instrText>
            </w:r>
            <w:r w:rsidR="00933E15">
              <w:fldChar w:fldCharType="separate"/>
            </w:r>
            <w:r w:rsidR="00933E15">
              <w:t>10</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52" w:history="1">
            <w:r w:rsidR="00933E15">
              <w:rPr>
                <w:rStyle w:val="af4"/>
                <w:lang w:val="zh-TW" w:eastAsia="zh-TW"/>
              </w:rPr>
              <w:t>2.3.4提升绿色普惠品牌效应</w:t>
            </w:r>
            <w:r w:rsidR="00933E15">
              <w:tab/>
            </w:r>
            <w:r w:rsidR="00933E15">
              <w:fldChar w:fldCharType="begin"/>
            </w:r>
            <w:r w:rsidR="00933E15">
              <w:instrText xml:space="preserve"> PAGEREF _Toc157583852 \h </w:instrText>
            </w:r>
            <w:r w:rsidR="00933E15">
              <w:fldChar w:fldCharType="separate"/>
            </w:r>
            <w:r w:rsidR="00933E15">
              <w:t>10</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53" w:history="1">
            <w:r w:rsidR="00933E15">
              <w:rPr>
                <w:rStyle w:val="af4"/>
                <w:lang w:val="zh-TW" w:eastAsia="zh-TW"/>
              </w:rPr>
              <w:t>2.3.5进一步打造碳中和银行</w:t>
            </w:r>
            <w:r w:rsidR="00933E15">
              <w:tab/>
            </w:r>
            <w:r w:rsidR="00933E15">
              <w:fldChar w:fldCharType="begin"/>
            </w:r>
            <w:r w:rsidR="00933E15">
              <w:instrText xml:space="preserve"> PAGEREF _Toc157583853 \h </w:instrText>
            </w:r>
            <w:r w:rsidR="00933E15">
              <w:fldChar w:fldCharType="separate"/>
            </w:r>
            <w:r w:rsidR="00933E15">
              <w:t>11</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54" w:history="1">
            <w:r w:rsidR="00933E15">
              <w:rPr>
                <w:rStyle w:val="af4"/>
                <w:lang w:val="zh-TW" w:eastAsia="zh-TW"/>
              </w:rPr>
              <w:t>2.3.6完善绿色金融体系总结</w:t>
            </w:r>
            <w:r w:rsidR="00933E15">
              <w:tab/>
            </w:r>
            <w:r w:rsidR="00933E15">
              <w:fldChar w:fldCharType="begin"/>
            </w:r>
            <w:r w:rsidR="00933E15">
              <w:instrText xml:space="preserve"> PAGEREF _Toc157583854 \h </w:instrText>
            </w:r>
            <w:r w:rsidR="00933E15">
              <w:fldChar w:fldCharType="separate"/>
            </w:r>
            <w:r w:rsidR="00933E15">
              <w:t>12</w:t>
            </w:r>
            <w:r w:rsidR="00933E15">
              <w:fldChar w:fldCharType="end"/>
            </w:r>
          </w:hyperlink>
        </w:p>
        <w:p w:rsidR="00C13D7A" w:rsidRDefault="00F62BF0">
          <w:pPr>
            <w:pStyle w:val="TOC1"/>
            <w:tabs>
              <w:tab w:val="right" w:leader="dot" w:pos="8302"/>
            </w:tabs>
            <w:rPr>
              <w:rFonts w:asciiTheme="minorHAnsi" w:eastAsiaTheme="minorEastAsia" w:hAnsiTheme="minorHAnsi" w:cstheme="minorBidi"/>
              <w:szCs w:val="22"/>
            </w:rPr>
          </w:pPr>
          <w:hyperlink w:anchor="_Toc157583855" w:history="1">
            <w:r w:rsidR="00933E15">
              <w:rPr>
                <w:rStyle w:val="af4"/>
                <w:b/>
              </w:rPr>
              <w:t>3</w:t>
            </w:r>
            <w:r w:rsidR="00933E15">
              <w:rPr>
                <w:rStyle w:val="af4"/>
                <w:rFonts w:hAnsi="黑体"/>
                <w:b/>
              </w:rPr>
              <w:t xml:space="preserve"> </w:t>
            </w:r>
            <w:r w:rsidR="00933E15">
              <w:rPr>
                <w:rStyle w:val="af4"/>
                <w:rFonts w:hAnsi="黑体"/>
                <w:b/>
              </w:rPr>
              <w:t>环境相关治理结构</w:t>
            </w:r>
            <w:r w:rsidR="00933E15">
              <w:tab/>
            </w:r>
            <w:r w:rsidR="00933E15">
              <w:fldChar w:fldCharType="begin"/>
            </w:r>
            <w:r w:rsidR="00933E15">
              <w:instrText xml:space="preserve"> PAGEREF _Toc157583855 \h </w:instrText>
            </w:r>
            <w:r w:rsidR="00933E15">
              <w:fldChar w:fldCharType="separate"/>
            </w:r>
            <w:r w:rsidR="00933E15">
              <w:t>12</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56" w:history="1">
            <w:r w:rsidR="00933E15">
              <w:rPr>
                <w:rStyle w:val="af4"/>
                <w:lang w:val="zh-TW" w:eastAsia="zh-TW"/>
              </w:rPr>
              <w:t>3.1 董事会层面环境方面的职责设置</w:t>
            </w:r>
            <w:r w:rsidR="00933E15">
              <w:tab/>
            </w:r>
            <w:r w:rsidR="00933E15">
              <w:fldChar w:fldCharType="begin"/>
            </w:r>
            <w:r w:rsidR="00933E15">
              <w:instrText xml:space="preserve"> PAGEREF _Toc157583856 \h </w:instrText>
            </w:r>
            <w:r w:rsidR="00933E15">
              <w:fldChar w:fldCharType="separate"/>
            </w:r>
            <w:r w:rsidR="00933E15">
              <w:t>12</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57" w:history="1">
            <w:r w:rsidR="00933E15">
              <w:rPr>
                <w:rStyle w:val="af4"/>
                <w:lang w:val="zh-TW" w:eastAsia="zh-TW"/>
              </w:rPr>
              <w:t>3.2 董事会层面以下环境方面的职责设置</w:t>
            </w:r>
            <w:r w:rsidR="00933E15">
              <w:tab/>
            </w:r>
            <w:r w:rsidR="00933E15">
              <w:fldChar w:fldCharType="begin"/>
            </w:r>
            <w:r w:rsidR="00933E15">
              <w:instrText xml:space="preserve"> PAGEREF _Toc157583857 \h </w:instrText>
            </w:r>
            <w:r w:rsidR="00933E15">
              <w:fldChar w:fldCharType="separate"/>
            </w:r>
            <w:r w:rsidR="00933E15">
              <w:t>13</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58" w:history="1">
            <w:r w:rsidR="00933E15">
              <w:rPr>
                <w:rStyle w:val="af4"/>
                <w:lang w:val="zh-TW" w:eastAsia="zh-TW"/>
              </w:rPr>
              <w:t>3.2.1成立绿色金融部门</w:t>
            </w:r>
            <w:r w:rsidR="00933E15">
              <w:tab/>
            </w:r>
            <w:r w:rsidR="00933E15">
              <w:fldChar w:fldCharType="begin"/>
            </w:r>
            <w:r w:rsidR="00933E15">
              <w:instrText xml:space="preserve"> PAGEREF _Toc157583858 \h </w:instrText>
            </w:r>
            <w:r w:rsidR="00933E15">
              <w:fldChar w:fldCharType="separate"/>
            </w:r>
            <w:r w:rsidR="00933E15">
              <w:t>13</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59" w:history="1">
            <w:r w:rsidR="00933E15">
              <w:rPr>
                <w:rStyle w:val="af4"/>
                <w:lang w:val="zh-TW" w:eastAsia="zh-TW"/>
              </w:rPr>
              <w:t>3.2.</w:t>
            </w:r>
            <w:r w:rsidR="00933E15">
              <w:rPr>
                <w:rStyle w:val="af4"/>
                <w:rFonts w:eastAsia="PMingLiU"/>
                <w:lang w:val="zh-TW" w:eastAsia="zh-TW"/>
              </w:rPr>
              <w:t>2</w:t>
            </w:r>
            <w:r w:rsidR="00933E15">
              <w:rPr>
                <w:rStyle w:val="af4"/>
                <w:lang w:val="zh-TW" w:eastAsia="zh-TW"/>
              </w:rPr>
              <w:t>成立绿色专营支行</w:t>
            </w:r>
            <w:r w:rsidR="00933E15">
              <w:tab/>
            </w:r>
            <w:r w:rsidR="00933E15">
              <w:fldChar w:fldCharType="begin"/>
            </w:r>
            <w:r w:rsidR="00933E15">
              <w:instrText xml:space="preserve"> PAGEREF _Toc157583859 \h </w:instrText>
            </w:r>
            <w:r w:rsidR="00933E15">
              <w:fldChar w:fldCharType="separate"/>
            </w:r>
            <w:r w:rsidR="00933E15">
              <w:t>13</w:t>
            </w:r>
            <w:r w:rsidR="00933E15">
              <w:fldChar w:fldCharType="end"/>
            </w:r>
          </w:hyperlink>
        </w:p>
        <w:p w:rsidR="00C13D7A" w:rsidRDefault="00F62BF0">
          <w:pPr>
            <w:pStyle w:val="TOC1"/>
            <w:tabs>
              <w:tab w:val="right" w:leader="dot" w:pos="8302"/>
            </w:tabs>
            <w:rPr>
              <w:rFonts w:asciiTheme="minorHAnsi" w:eastAsiaTheme="minorEastAsia" w:hAnsiTheme="minorHAnsi" w:cstheme="minorBidi"/>
              <w:szCs w:val="22"/>
            </w:rPr>
          </w:pPr>
          <w:hyperlink w:anchor="_Toc157583860" w:history="1">
            <w:r w:rsidR="00933E15">
              <w:rPr>
                <w:rStyle w:val="af4"/>
                <w:b/>
              </w:rPr>
              <w:t>4</w:t>
            </w:r>
            <w:r w:rsidR="00933E15">
              <w:rPr>
                <w:rStyle w:val="af4"/>
                <w:rFonts w:hAnsi="黑体"/>
                <w:b/>
              </w:rPr>
              <w:t xml:space="preserve"> </w:t>
            </w:r>
            <w:r w:rsidR="00933E15">
              <w:rPr>
                <w:rStyle w:val="af4"/>
                <w:rFonts w:hAnsi="黑体"/>
                <w:b/>
              </w:rPr>
              <w:t>本行环境相关政策制度</w:t>
            </w:r>
            <w:r w:rsidR="00933E15">
              <w:tab/>
            </w:r>
            <w:r w:rsidR="00933E15">
              <w:fldChar w:fldCharType="begin"/>
            </w:r>
            <w:r w:rsidR="00933E15">
              <w:instrText xml:space="preserve"> PAGEREF _Toc157583860 \h </w:instrText>
            </w:r>
            <w:r w:rsidR="00933E15">
              <w:fldChar w:fldCharType="separate"/>
            </w:r>
            <w:r w:rsidR="00933E15">
              <w:t>14</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61" w:history="1">
            <w:r w:rsidR="00933E15">
              <w:rPr>
                <w:rStyle w:val="af4"/>
                <w:lang w:val="zh-TW" w:eastAsia="zh-TW"/>
              </w:rPr>
              <w:t>4.1 环境政策可能对金融机构产生的影响</w:t>
            </w:r>
            <w:r w:rsidR="00933E15">
              <w:tab/>
            </w:r>
            <w:r w:rsidR="00933E15">
              <w:fldChar w:fldCharType="begin"/>
            </w:r>
            <w:r w:rsidR="00933E15">
              <w:instrText xml:space="preserve"> PAGEREF _Toc157583861 \h </w:instrText>
            </w:r>
            <w:r w:rsidR="00933E15">
              <w:fldChar w:fldCharType="separate"/>
            </w:r>
            <w:r w:rsidR="00933E15">
              <w:t>14</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62" w:history="1">
            <w:r w:rsidR="00933E15">
              <w:rPr>
                <w:rStyle w:val="af4"/>
                <w:lang w:val="zh-TW" w:eastAsia="zh-TW"/>
              </w:rPr>
              <w:t>4.2 本机构与环境相关的现行政策</w:t>
            </w:r>
            <w:r w:rsidR="00933E15">
              <w:tab/>
            </w:r>
            <w:r w:rsidR="00933E15">
              <w:fldChar w:fldCharType="begin"/>
            </w:r>
            <w:r w:rsidR="00933E15">
              <w:instrText xml:space="preserve"> PAGEREF _Toc157583862 \h </w:instrText>
            </w:r>
            <w:r w:rsidR="00933E15">
              <w:fldChar w:fldCharType="separate"/>
            </w:r>
            <w:r w:rsidR="00933E15">
              <w:t>14</w:t>
            </w:r>
            <w:r w:rsidR="00933E15">
              <w:fldChar w:fldCharType="end"/>
            </w:r>
          </w:hyperlink>
        </w:p>
        <w:p w:rsidR="00C13D7A" w:rsidRDefault="00F62BF0">
          <w:pPr>
            <w:pStyle w:val="TOC1"/>
            <w:tabs>
              <w:tab w:val="right" w:leader="dot" w:pos="8302"/>
            </w:tabs>
            <w:rPr>
              <w:rFonts w:asciiTheme="minorHAnsi" w:eastAsiaTheme="minorEastAsia" w:hAnsiTheme="minorHAnsi" w:cstheme="minorBidi"/>
              <w:szCs w:val="22"/>
            </w:rPr>
          </w:pPr>
          <w:hyperlink w:anchor="_Toc157583863" w:history="1">
            <w:r w:rsidR="00933E15">
              <w:rPr>
                <w:rStyle w:val="af4"/>
                <w:b/>
              </w:rPr>
              <w:t>5</w:t>
            </w:r>
            <w:r w:rsidR="00933E15">
              <w:rPr>
                <w:rStyle w:val="af4"/>
                <w:rFonts w:hAnsi="黑体"/>
                <w:b/>
              </w:rPr>
              <w:t xml:space="preserve"> </w:t>
            </w:r>
            <w:r w:rsidR="00933E15">
              <w:rPr>
                <w:rStyle w:val="af4"/>
                <w:rFonts w:hAnsi="黑体"/>
                <w:b/>
              </w:rPr>
              <w:t>本行环境风险、机遇的分析与管理</w:t>
            </w:r>
            <w:r w:rsidR="00933E15">
              <w:tab/>
            </w:r>
            <w:r w:rsidR="00933E15">
              <w:fldChar w:fldCharType="begin"/>
            </w:r>
            <w:r w:rsidR="00933E15">
              <w:instrText xml:space="preserve"> PAGEREF _Toc157583863 \h </w:instrText>
            </w:r>
            <w:r w:rsidR="00933E15">
              <w:fldChar w:fldCharType="separate"/>
            </w:r>
            <w:r w:rsidR="00933E15">
              <w:t>16</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64" w:history="1">
            <w:r w:rsidR="00933E15">
              <w:rPr>
                <w:rStyle w:val="af4"/>
                <w:lang w:val="zh-TW" w:eastAsia="zh-TW"/>
              </w:rPr>
              <w:t>5.1 金融机构环境风险影响</w:t>
            </w:r>
            <w:r w:rsidR="00933E15">
              <w:tab/>
            </w:r>
            <w:r w:rsidR="00933E15">
              <w:fldChar w:fldCharType="begin"/>
            </w:r>
            <w:r w:rsidR="00933E15">
              <w:instrText xml:space="preserve"> PAGEREF _Toc157583864 \h </w:instrText>
            </w:r>
            <w:r w:rsidR="00933E15">
              <w:fldChar w:fldCharType="separate"/>
            </w:r>
            <w:r w:rsidR="00933E15">
              <w:t>16</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65" w:history="1">
            <w:r w:rsidR="00933E15">
              <w:rPr>
                <w:rStyle w:val="af4"/>
                <w:lang w:val="zh-TW" w:eastAsia="zh-TW"/>
              </w:rPr>
              <w:t>5.2 本机构环境风险管理及流程</w:t>
            </w:r>
            <w:r w:rsidR="00933E15">
              <w:tab/>
            </w:r>
            <w:r w:rsidR="00933E15">
              <w:fldChar w:fldCharType="begin"/>
            </w:r>
            <w:r w:rsidR="00933E15">
              <w:instrText xml:space="preserve"> PAGEREF _Toc157583865 \h </w:instrText>
            </w:r>
            <w:r w:rsidR="00933E15">
              <w:fldChar w:fldCharType="separate"/>
            </w:r>
            <w:r w:rsidR="00933E15">
              <w:t>17</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66" w:history="1">
            <w:r w:rsidR="00933E15">
              <w:rPr>
                <w:rStyle w:val="af4"/>
                <w:lang w:val="zh-TW"/>
              </w:rPr>
              <w:t>5</w:t>
            </w:r>
            <w:r w:rsidR="00933E15">
              <w:rPr>
                <w:rStyle w:val="af4"/>
                <w:rFonts w:eastAsia="PMingLiU"/>
                <w:lang w:val="zh-TW" w:eastAsia="zh-TW"/>
              </w:rPr>
              <w:t>.2.1</w:t>
            </w:r>
            <w:r w:rsidR="00933E15">
              <w:rPr>
                <w:rStyle w:val="af4"/>
                <w:lang w:val="zh-TW" w:eastAsia="zh-TW"/>
              </w:rPr>
              <w:t>制订客户环境风险评估标准</w:t>
            </w:r>
            <w:r w:rsidR="00933E15">
              <w:tab/>
            </w:r>
            <w:r w:rsidR="00933E15">
              <w:fldChar w:fldCharType="begin"/>
            </w:r>
            <w:r w:rsidR="00933E15">
              <w:instrText xml:space="preserve"> PAGEREF _Toc157583866 \h </w:instrText>
            </w:r>
            <w:r w:rsidR="00933E15">
              <w:fldChar w:fldCharType="separate"/>
            </w:r>
            <w:r w:rsidR="00933E15">
              <w:t>17</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67" w:history="1">
            <w:r w:rsidR="00933E15">
              <w:rPr>
                <w:rStyle w:val="af4"/>
                <w:lang w:val="zh-TW"/>
              </w:rPr>
              <w:t>5</w:t>
            </w:r>
            <w:r w:rsidR="00933E15">
              <w:rPr>
                <w:rStyle w:val="af4"/>
                <w:rFonts w:eastAsia="PMingLiU"/>
                <w:lang w:val="zh-TW" w:eastAsia="zh-TW"/>
              </w:rPr>
              <w:t>.2.2</w:t>
            </w:r>
            <w:r w:rsidR="00933E15">
              <w:rPr>
                <w:rStyle w:val="af4"/>
                <w:lang w:val="zh-TW"/>
              </w:rPr>
              <w:t>加强风险管理评级</w:t>
            </w:r>
            <w:r w:rsidR="00933E15">
              <w:tab/>
            </w:r>
            <w:r w:rsidR="00933E15">
              <w:fldChar w:fldCharType="begin"/>
            </w:r>
            <w:r w:rsidR="00933E15">
              <w:instrText xml:space="preserve"> PAGEREF _Toc157583867 \h </w:instrText>
            </w:r>
            <w:r w:rsidR="00933E15">
              <w:fldChar w:fldCharType="separate"/>
            </w:r>
            <w:r w:rsidR="00933E15">
              <w:t>18</w:t>
            </w:r>
            <w:r w:rsidR="00933E15">
              <w:fldChar w:fldCharType="end"/>
            </w:r>
          </w:hyperlink>
        </w:p>
        <w:p w:rsidR="00C13D7A" w:rsidRDefault="00F62BF0">
          <w:pPr>
            <w:pStyle w:val="TOC1"/>
            <w:tabs>
              <w:tab w:val="right" w:leader="dot" w:pos="8302"/>
            </w:tabs>
            <w:rPr>
              <w:rFonts w:asciiTheme="minorHAnsi" w:eastAsiaTheme="minorEastAsia" w:hAnsiTheme="minorHAnsi" w:cstheme="minorBidi"/>
              <w:szCs w:val="22"/>
            </w:rPr>
          </w:pPr>
          <w:hyperlink w:anchor="_Toc157583868" w:history="1">
            <w:r w:rsidR="00933E15">
              <w:rPr>
                <w:rStyle w:val="af4"/>
                <w:b/>
              </w:rPr>
              <w:t>6</w:t>
            </w:r>
            <w:r w:rsidR="00933E15">
              <w:rPr>
                <w:rStyle w:val="af4"/>
                <w:rFonts w:hAnsi="黑体"/>
                <w:b/>
              </w:rPr>
              <w:t xml:space="preserve"> </w:t>
            </w:r>
            <w:r w:rsidR="00933E15">
              <w:rPr>
                <w:rStyle w:val="af4"/>
                <w:rFonts w:hAnsi="黑体"/>
                <w:b/>
              </w:rPr>
              <w:t>本机构经营活动的环境影响</w:t>
            </w:r>
            <w:r w:rsidR="00933E15">
              <w:tab/>
            </w:r>
            <w:r w:rsidR="00933E15">
              <w:fldChar w:fldCharType="begin"/>
            </w:r>
            <w:r w:rsidR="00933E15">
              <w:instrText xml:space="preserve"> PAGEREF _Toc157583868 \h </w:instrText>
            </w:r>
            <w:r w:rsidR="00933E15">
              <w:fldChar w:fldCharType="separate"/>
            </w:r>
            <w:r w:rsidR="00933E15">
              <w:t>18</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69" w:history="1">
            <w:r w:rsidR="00933E15">
              <w:rPr>
                <w:rStyle w:val="af4"/>
                <w:lang w:val="zh-TW" w:eastAsia="zh-TW"/>
              </w:rPr>
              <w:t>6.1 本机构经营活动对环境产生的影响</w:t>
            </w:r>
            <w:r w:rsidR="00933E15">
              <w:tab/>
            </w:r>
            <w:r w:rsidR="00933E15">
              <w:fldChar w:fldCharType="begin"/>
            </w:r>
            <w:r w:rsidR="00933E15">
              <w:instrText xml:space="preserve"> PAGEREF _Toc157583869 \h </w:instrText>
            </w:r>
            <w:r w:rsidR="00933E15">
              <w:fldChar w:fldCharType="separate"/>
            </w:r>
            <w:r w:rsidR="00933E15">
              <w:t>18</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70" w:history="1">
            <w:r w:rsidR="00933E15">
              <w:rPr>
                <w:rStyle w:val="af4"/>
                <w:lang w:val="zh-TW" w:eastAsia="zh-TW"/>
              </w:rPr>
              <w:t>6.2 本机构环保措施所产生的效果</w:t>
            </w:r>
            <w:r w:rsidR="00933E15">
              <w:tab/>
            </w:r>
            <w:r w:rsidR="00933E15">
              <w:fldChar w:fldCharType="begin"/>
            </w:r>
            <w:r w:rsidR="00933E15">
              <w:instrText xml:space="preserve"> PAGEREF _Toc157583870 \h </w:instrText>
            </w:r>
            <w:r w:rsidR="00933E15">
              <w:fldChar w:fldCharType="separate"/>
            </w:r>
            <w:r w:rsidR="00933E15">
              <w:t>19</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71" w:history="1">
            <w:r w:rsidR="00933E15">
              <w:rPr>
                <w:rStyle w:val="af4"/>
                <w:lang w:val="zh-TW" w:eastAsia="zh-TW"/>
              </w:rPr>
              <w:t>6.3 经营活动环境影响的计算</w:t>
            </w:r>
            <w:r w:rsidR="00933E15">
              <w:tab/>
            </w:r>
            <w:r w:rsidR="00933E15">
              <w:fldChar w:fldCharType="begin"/>
            </w:r>
            <w:r w:rsidR="00933E15">
              <w:instrText xml:space="preserve"> PAGEREF _Toc157583871 \h </w:instrText>
            </w:r>
            <w:r w:rsidR="00933E15">
              <w:fldChar w:fldCharType="separate"/>
            </w:r>
            <w:r w:rsidR="00933E15">
              <w:t>20</w:t>
            </w:r>
            <w:r w:rsidR="00933E15">
              <w:fldChar w:fldCharType="end"/>
            </w:r>
          </w:hyperlink>
        </w:p>
        <w:p w:rsidR="00C13D7A" w:rsidRDefault="00F62BF0">
          <w:pPr>
            <w:pStyle w:val="TOC1"/>
            <w:tabs>
              <w:tab w:val="right" w:leader="dot" w:pos="8302"/>
            </w:tabs>
            <w:rPr>
              <w:rFonts w:asciiTheme="minorHAnsi" w:eastAsiaTheme="minorEastAsia" w:hAnsiTheme="minorHAnsi" w:cstheme="minorBidi"/>
              <w:szCs w:val="22"/>
            </w:rPr>
          </w:pPr>
          <w:hyperlink w:anchor="_Toc157583872" w:history="1">
            <w:r w:rsidR="00933E15">
              <w:rPr>
                <w:rStyle w:val="af4"/>
                <w:b/>
              </w:rPr>
              <w:t>7</w:t>
            </w:r>
            <w:r w:rsidR="00933E15">
              <w:rPr>
                <w:rStyle w:val="af4"/>
                <w:rFonts w:hAnsi="黑体"/>
                <w:b/>
              </w:rPr>
              <w:t xml:space="preserve"> </w:t>
            </w:r>
            <w:r w:rsidR="00933E15">
              <w:rPr>
                <w:rStyle w:val="af4"/>
                <w:rFonts w:hAnsi="黑体"/>
                <w:b/>
              </w:rPr>
              <w:t>本机构投融资活动的环境影响</w:t>
            </w:r>
            <w:r w:rsidR="00933E15">
              <w:tab/>
            </w:r>
            <w:r w:rsidR="00933E15">
              <w:fldChar w:fldCharType="begin"/>
            </w:r>
            <w:r w:rsidR="00933E15">
              <w:instrText xml:space="preserve"> PAGEREF _Toc157583872 \h </w:instrText>
            </w:r>
            <w:r w:rsidR="00933E15">
              <w:fldChar w:fldCharType="separate"/>
            </w:r>
            <w:r w:rsidR="00933E15">
              <w:t>21</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73" w:history="1">
            <w:r w:rsidR="00933E15">
              <w:rPr>
                <w:rStyle w:val="af4"/>
              </w:rPr>
              <w:t>7.1</w:t>
            </w:r>
            <w:r w:rsidR="00933E15">
              <w:rPr>
                <w:rStyle w:val="af4"/>
                <w:lang w:val="zh-TW" w:eastAsia="zh-TW"/>
              </w:rPr>
              <w:t xml:space="preserve"> 本机构投融资所产生的环境影响</w:t>
            </w:r>
            <w:r w:rsidR="00933E15">
              <w:tab/>
            </w:r>
            <w:r w:rsidR="00933E15">
              <w:fldChar w:fldCharType="begin"/>
            </w:r>
            <w:r w:rsidR="00933E15">
              <w:instrText xml:space="preserve"> PAGEREF _Toc157583873 \h </w:instrText>
            </w:r>
            <w:r w:rsidR="00933E15">
              <w:fldChar w:fldCharType="separate"/>
            </w:r>
            <w:r w:rsidR="00933E15">
              <w:t>21</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74" w:history="1">
            <w:r w:rsidR="00933E15">
              <w:rPr>
                <w:rStyle w:val="af4"/>
                <w:lang w:val="zh-TW" w:eastAsia="zh-TW"/>
              </w:rPr>
              <w:t>7.2 投融资环境影响的测算与表达</w:t>
            </w:r>
            <w:r w:rsidR="00933E15">
              <w:tab/>
            </w:r>
            <w:r w:rsidR="00933E15">
              <w:fldChar w:fldCharType="begin"/>
            </w:r>
            <w:r w:rsidR="00933E15">
              <w:instrText xml:space="preserve"> PAGEREF _Toc157583874 \h </w:instrText>
            </w:r>
            <w:r w:rsidR="00933E15">
              <w:fldChar w:fldCharType="separate"/>
            </w:r>
            <w:r w:rsidR="00933E15">
              <w:t>21</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75" w:history="1">
            <w:r w:rsidR="00933E15">
              <w:rPr>
                <w:rStyle w:val="af4"/>
                <w:lang w:val="zh-TW" w:eastAsia="zh-TW"/>
              </w:rPr>
              <w:t>7.3 数据梳理、校验及保护</w:t>
            </w:r>
            <w:r w:rsidR="00933E15">
              <w:tab/>
            </w:r>
            <w:r w:rsidR="00933E15">
              <w:fldChar w:fldCharType="begin"/>
            </w:r>
            <w:r w:rsidR="00933E15">
              <w:instrText xml:space="preserve"> PAGEREF _Toc157583875 \h </w:instrText>
            </w:r>
            <w:r w:rsidR="00933E15">
              <w:fldChar w:fldCharType="separate"/>
            </w:r>
            <w:r w:rsidR="00933E15">
              <w:t>22</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76" w:history="1">
            <w:r w:rsidR="00933E15">
              <w:rPr>
                <w:rStyle w:val="af4"/>
                <w:lang w:val="zh-TW" w:eastAsia="zh-TW"/>
              </w:rPr>
              <w:t>7.3.1本机构绿色信贷统计数据质量开展情况</w:t>
            </w:r>
            <w:r w:rsidR="00933E15">
              <w:tab/>
            </w:r>
            <w:r w:rsidR="00933E15">
              <w:fldChar w:fldCharType="begin"/>
            </w:r>
            <w:r w:rsidR="00933E15">
              <w:instrText xml:space="preserve"> PAGEREF _Toc157583876 \h </w:instrText>
            </w:r>
            <w:r w:rsidR="00933E15">
              <w:fldChar w:fldCharType="separate"/>
            </w:r>
            <w:r w:rsidR="00933E15">
              <w:t>22</w:t>
            </w:r>
            <w:r w:rsidR="00933E15">
              <w:fldChar w:fldCharType="end"/>
            </w:r>
          </w:hyperlink>
        </w:p>
        <w:p w:rsidR="00C13D7A" w:rsidRDefault="00F62BF0">
          <w:pPr>
            <w:pStyle w:val="TOC2"/>
            <w:rPr>
              <w:rFonts w:asciiTheme="minorHAnsi" w:eastAsiaTheme="minorEastAsia" w:hAnsiTheme="minorHAnsi" w:cstheme="minorBidi"/>
              <w:b w:val="0"/>
              <w:szCs w:val="22"/>
            </w:rPr>
          </w:pPr>
          <w:hyperlink w:anchor="_Toc157583877" w:history="1">
            <w:r w:rsidR="00933E15">
              <w:rPr>
                <w:rStyle w:val="af4"/>
                <w:lang w:val="zh-TW" w:eastAsia="zh-TW"/>
              </w:rPr>
              <w:t>7.3.2本机构保证数据安全工作开展情况</w:t>
            </w:r>
            <w:r w:rsidR="00933E15">
              <w:tab/>
            </w:r>
            <w:r w:rsidR="00933E15">
              <w:fldChar w:fldCharType="begin"/>
            </w:r>
            <w:r w:rsidR="00933E15">
              <w:instrText xml:space="preserve"> PAGEREF _Toc157583877 \h </w:instrText>
            </w:r>
            <w:r w:rsidR="00933E15">
              <w:fldChar w:fldCharType="separate"/>
            </w:r>
            <w:r w:rsidR="00933E15">
              <w:t>23</w:t>
            </w:r>
            <w:r w:rsidR="00933E15">
              <w:fldChar w:fldCharType="end"/>
            </w:r>
          </w:hyperlink>
        </w:p>
        <w:p w:rsidR="00C13D7A" w:rsidRDefault="00F62BF0">
          <w:pPr>
            <w:pStyle w:val="TOC1"/>
            <w:tabs>
              <w:tab w:val="right" w:leader="dot" w:pos="8302"/>
            </w:tabs>
            <w:rPr>
              <w:rFonts w:asciiTheme="minorHAnsi" w:eastAsiaTheme="minorEastAsia" w:hAnsiTheme="minorHAnsi" w:cstheme="minorBidi"/>
              <w:szCs w:val="22"/>
            </w:rPr>
          </w:pPr>
          <w:hyperlink w:anchor="_Toc157583878" w:history="1">
            <w:r w:rsidR="00933E15">
              <w:rPr>
                <w:rStyle w:val="af4"/>
                <w:b/>
              </w:rPr>
              <w:t>8</w:t>
            </w:r>
            <w:r w:rsidR="00933E15">
              <w:rPr>
                <w:rStyle w:val="af4"/>
                <w:rFonts w:hAnsi="黑体"/>
                <w:b/>
              </w:rPr>
              <w:t xml:space="preserve"> </w:t>
            </w:r>
            <w:r w:rsidR="00933E15">
              <w:rPr>
                <w:rStyle w:val="af4"/>
                <w:rFonts w:hAnsi="黑体"/>
                <w:b/>
              </w:rPr>
              <w:t>绿色金融创新及研究成果</w:t>
            </w:r>
            <w:r w:rsidR="00933E15">
              <w:tab/>
            </w:r>
            <w:r w:rsidR="00933E15">
              <w:fldChar w:fldCharType="begin"/>
            </w:r>
            <w:r w:rsidR="00933E15">
              <w:instrText xml:space="preserve"> PAGEREF _Toc157583878 \h </w:instrText>
            </w:r>
            <w:r w:rsidR="00933E15">
              <w:fldChar w:fldCharType="separate"/>
            </w:r>
            <w:r w:rsidR="00933E15">
              <w:t>24</w:t>
            </w:r>
            <w:r w:rsidR="00933E15">
              <w:fldChar w:fldCharType="end"/>
            </w:r>
          </w:hyperlink>
        </w:p>
        <w:p w:rsidR="00C13D7A" w:rsidRDefault="00F62BF0">
          <w:pPr>
            <w:pStyle w:val="TOC1"/>
            <w:tabs>
              <w:tab w:val="right" w:leader="dot" w:pos="8302"/>
            </w:tabs>
            <w:rPr>
              <w:rFonts w:asciiTheme="minorHAnsi" w:eastAsiaTheme="minorEastAsia" w:hAnsiTheme="minorHAnsi" w:cstheme="minorBidi"/>
              <w:szCs w:val="22"/>
            </w:rPr>
          </w:pPr>
          <w:hyperlink w:anchor="_Toc157583879" w:history="1">
            <w:r w:rsidR="00933E15">
              <w:rPr>
                <w:rStyle w:val="af4"/>
                <w:b/>
              </w:rPr>
              <w:t>9</w:t>
            </w:r>
            <w:r w:rsidR="00933E15">
              <w:rPr>
                <w:rStyle w:val="af4"/>
                <w:rFonts w:hAnsi="黑体"/>
                <w:b/>
              </w:rPr>
              <w:t xml:space="preserve"> </w:t>
            </w:r>
            <w:r w:rsidR="00933E15">
              <w:rPr>
                <w:rStyle w:val="af4"/>
                <w:rFonts w:hAnsi="黑体"/>
                <w:b/>
              </w:rPr>
              <w:t>绿色项目信息</w:t>
            </w:r>
            <w:r w:rsidR="00933E15">
              <w:tab/>
            </w:r>
            <w:r w:rsidR="00933E15">
              <w:fldChar w:fldCharType="begin"/>
            </w:r>
            <w:r w:rsidR="00933E15">
              <w:instrText xml:space="preserve"> PAGEREF _Toc157583879 \h </w:instrText>
            </w:r>
            <w:r w:rsidR="00933E15">
              <w:fldChar w:fldCharType="separate"/>
            </w:r>
            <w:r w:rsidR="00933E15">
              <w:t>29</w:t>
            </w:r>
            <w:r w:rsidR="00933E15">
              <w:fldChar w:fldCharType="end"/>
            </w:r>
          </w:hyperlink>
        </w:p>
        <w:p w:rsidR="00C13D7A" w:rsidRDefault="00933E15">
          <w:pPr>
            <w:rPr>
              <w:rFonts w:ascii="仿宋_GB2312" w:eastAsia="仿宋_GB2312" w:hAnsi="宋体"/>
            </w:rPr>
          </w:pPr>
          <w:r>
            <w:rPr>
              <w:rFonts w:ascii="仿宋_GB2312" w:eastAsia="仿宋_GB2312" w:hAnsi="宋体" w:hint="eastAsia"/>
            </w:rPr>
            <w:fldChar w:fldCharType="end"/>
          </w:r>
        </w:p>
        <w:p w:rsidR="00C13D7A" w:rsidRDefault="00C13D7A">
          <w:pPr>
            <w:pStyle w:val="2"/>
          </w:pPr>
        </w:p>
        <w:p w:rsidR="00C13D7A" w:rsidRDefault="00C13D7A">
          <w:pPr>
            <w:pStyle w:val="2"/>
          </w:pPr>
        </w:p>
        <w:p w:rsidR="00C13D7A" w:rsidRDefault="00C13D7A">
          <w:pPr>
            <w:pStyle w:val="2"/>
          </w:pPr>
        </w:p>
        <w:p w:rsidR="00C13D7A" w:rsidRDefault="00C13D7A">
          <w:pPr>
            <w:pStyle w:val="2"/>
          </w:pPr>
        </w:p>
        <w:p w:rsidR="00C13D7A" w:rsidRDefault="00C13D7A">
          <w:pPr>
            <w:pStyle w:val="2"/>
          </w:pPr>
        </w:p>
        <w:p w:rsidR="00C13D7A" w:rsidRDefault="00C13D7A">
          <w:pPr>
            <w:pStyle w:val="2"/>
          </w:pPr>
        </w:p>
        <w:p w:rsidR="00C13D7A" w:rsidRDefault="00C13D7A">
          <w:pPr>
            <w:pStyle w:val="2"/>
          </w:pPr>
        </w:p>
        <w:p w:rsidR="00C13D7A" w:rsidRDefault="00C13D7A">
          <w:pPr>
            <w:pStyle w:val="2"/>
          </w:pPr>
        </w:p>
        <w:p w:rsidR="00C13D7A" w:rsidRDefault="00C13D7A">
          <w:pPr>
            <w:pStyle w:val="2"/>
          </w:pPr>
        </w:p>
        <w:p w:rsidR="00C13D7A" w:rsidRDefault="00C13D7A">
          <w:pPr>
            <w:pStyle w:val="2"/>
          </w:pPr>
        </w:p>
        <w:p w:rsidR="00C13D7A" w:rsidRDefault="00C13D7A">
          <w:pPr>
            <w:pStyle w:val="2"/>
          </w:pPr>
        </w:p>
        <w:p w:rsidR="00C13D7A" w:rsidRDefault="00C13D7A">
          <w:pPr>
            <w:pStyle w:val="2"/>
          </w:pPr>
        </w:p>
        <w:p w:rsidR="00C13D7A" w:rsidRDefault="00C13D7A">
          <w:pPr>
            <w:pStyle w:val="2"/>
          </w:pPr>
        </w:p>
        <w:p w:rsidR="00C13D7A" w:rsidRDefault="00C13D7A">
          <w:pPr>
            <w:pStyle w:val="2"/>
          </w:pPr>
        </w:p>
        <w:p w:rsidR="00C13D7A" w:rsidRDefault="00C13D7A">
          <w:pPr>
            <w:pStyle w:val="2"/>
          </w:pPr>
        </w:p>
        <w:p w:rsidR="00C13D7A" w:rsidRDefault="00C13D7A">
          <w:pPr>
            <w:pStyle w:val="2"/>
          </w:pPr>
        </w:p>
        <w:p w:rsidR="00C13D7A" w:rsidRDefault="00C13D7A">
          <w:pPr>
            <w:pStyle w:val="2"/>
          </w:pPr>
        </w:p>
        <w:p w:rsidR="00C13D7A" w:rsidRDefault="00C13D7A">
          <w:pPr>
            <w:pStyle w:val="2"/>
          </w:pPr>
        </w:p>
        <w:p w:rsidR="00C13D7A" w:rsidRDefault="00C13D7A">
          <w:pPr>
            <w:pStyle w:val="2"/>
          </w:pPr>
        </w:p>
        <w:p w:rsidR="00C13D7A" w:rsidRDefault="00C13D7A">
          <w:pPr>
            <w:pStyle w:val="2"/>
          </w:pPr>
        </w:p>
        <w:p w:rsidR="00C13D7A" w:rsidRDefault="00C13D7A">
          <w:pPr>
            <w:pStyle w:val="2"/>
          </w:pPr>
        </w:p>
        <w:p w:rsidR="00C13D7A" w:rsidRDefault="00C13D7A">
          <w:pPr>
            <w:pStyle w:val="2"/>
          </w:pPr>
        </w:p>
        <w:p w:rsidR="00C13D7A" w:rsidRDefault="00C13D7A">
          <w:pPr>
            <w:pStyle w:val="2"/>
          </w:pPr>
        </w:p>
        <w:p w:rsidR="00C13D7A" w:rsidRDefault="00C13D7A">
          <w:pPr>
            <w:pStyle w:val="2"/>
          </w:pPr>
        </w:p>
        <w:p w:rsidR="00C13D7A" w:rsidRDefault="00C13D7A">
          <w:pPr>
            <w:pStyle w:val="2"/>
          </w:pPr>
        </w:p>
        <w:p w:rsidR="00C13D7A" w:rsidRDefault="00F62BF0">
          <w:pPr>
            <w:pStyle w:val="2"/>
          </w:pPr>
        </w:p>
      </w:sdtContent>
    </w:sdt>
    <w:p w:rsidR="00C13D7A" w:rsidRDefault="00933E15">
      <w:pPr>
        <w:pStyle w:val="a"/>
        <w:tabs>
          <w:tab w:val="left" w:pos="720"/>
        </w:tabs>
        <w:snapToGrid w:val="0"/>
        <w:spacing w:beforeLines="0" w:before="0" w:afterLines="0" w:after="0" w:line="580" w:lineRule="exact"/>
        <w:outlineLvl w:val="0"/>
        <w:rPr>
          <w:rFonts w:hAnsi="黑体"/>
          <w:b/>
          <w:sz w:val="32"/>
          <w:szCs w:val="32"/>
        </w:rPr>
      </w:pPr>
      <w:bookmarkStart w:id="33" w:name="_Toc38615347"/>
      <w:bookmarkStart w:id="34" w:name="_Toc38615455"/>
      <w:bookmarkStart w:id="35" w:name="_Toc38615310"/>
      <w:bookmarkStart w:id="36" w:name="_Toc157583834"/>
      <w:r>
        <w:rPr>
          <w:rFonts w:hAnsi="黑体" w:hint="eastAsia"/>
          <w:b/>
          <w:sz w:val="32"/>
          <w:szCs w:val="32"/>
        </w:rPr>
        <w:lastRenderedPageBreak/>
        <w:t>关于</w:t>
      </w:r>
      <w:r>
        <w:rPr>
          <w:rFonts w:hAnsi="黑体"/>
          <w:b/>
          <w:sz w:val="32"/>
          <w:szCs w:val="32"/>
        </w:rPr>
        <w:t>本报告</w:t>
      </w:r>
      <w:bookmarkEnd w:id="33"/>
      <w:bookmarkEnd w:id="34"/>
      <w:bookmarkEnd w:id="35"/>
      <w:bookmarkEnd w:id="36"/>
    </w:p>
    <w:p w:rsidR="00C13D7A" w:rsidRDefault="00933E15">
      <w:pPr>
        <w:snapToGrid w:val="0"/>
        <w:spacing w:line="580" w:lineRule="exact"/>
        <w:rPr>
          <w:rFonts w:ascii="仿宋_GB2312" w:eastAsia="仿宋_GB2312" w:hAnsi="宋体"/>
          <w:sz w:val="32"/>
          <w:szCs w:val="32"/>
        </w:rPr>
      </w:pPr>
      <w:bookmarkStart w:id="37" w:name="_Toc38615348"/>
      <w:bookmarkStart w:id="38" w:name="_Toc38615456"/>
      <w:bookmarkStart w:id="39" w:name="_Toc38615311"/>
      <w:r>
        <w:rPr>
          <w:rFonts w:ascii="仿宋_GB2312" w:eastAsia="仿宋_GB2312" w:hAnsi="宋体" w:hint="eastAsia"/>
          <w:sz w:val="32"/>
          <w:szCs w:val="32"/>
        </w:rPr>
        <w:t>报告简介</w:t>
      </w:r>
      <w:bookmarkStart w:id="40" w:name="_Toc38615312"/>
      <w:bookmarkStart w:id="41" w:name="_Toc38615349"/>
      <w:bookmarkStart w:id="42" w:name="_Toc38615488"/>
      <w:bookmarkStart w:id="43" w:name="_Toc38615457"/>
      <w:bookmarkStart w:id="44" w:name="_Toc38615169"/>
      <w:bookmarkEnd w:id="37"/>
      <w:bookmarkEnd w:id="38"/>
      <w:bookmarkEnd w:id="39"/>
    </w:p>
    <w:p w:rsidR="00C13D7A" w:rsidRDefault="00933E15">
      <w:pPr>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德清农商银行是在原德清农村合作银行的基础上发起设立的股份制地方金融机构，改制成立于2012年7月9日，是德清渠道分布最广、服务客户最多、综合实力最强、社会贡献度最高的银行。目前，全辖共有营业网点40家（包括1家营业部、39家支行），助农取款点163家，丰收驿站128家。内设职能部室15个，从业员工人数600余人，其中本科以上学历人员占92.02％，拥有职称人员占44.76%。本行金融服务覆盖全县13个镇（街道）、29个社区、137个行政村、95%以上的德清百姓。近年来，德清持续</w:t>
      </w:r>
      <w:proofErr w:type="gramStart"/>
      <w:r>
        <w:rPr>
          <w:rFonts w:ascii="仿宋_GB2312" w:eastAsia="仿宋_GB2312" w:hAnsi="宋体" w:hint="eastAsia"/>
          <w:sz w:val="32"/>
          <w:szCs w:val="32"/>
        </w:rPr>
        <w:t>发挥近沪临杭</w:t>
      </w:r>
      <w:proofErr w:type="gramEnd"/>
      <w:r>
        <w:rPr>
          <w:rFonts w:ascii="仿宋_GB2312" w:eastAsia="仿宋_GB2312" w:hAnsi="宋体" w:hint="eastAsia"/>
          <w:sz w:val="32"/>
          <w:szCs w:val="32"/>
        </w:rPr>
        <w:t>的区位优势，特别是随着“长三角一体化”发展的深入推进，更加突出上海主攻方向，主动融入发展大势、全面承接红利溢出，着力推动经济社会持续健康快速发展，先后15次进入全国百强县（市）行列。特色小镇建设、“最多跑一次”改革、农村土地制度改革、政府数字化转型等工作均走在全省乃至全国前列。本报告旨在披露浙江德清农村商业银行股份有限公司</w:t>
      </w:r>
      <w:r>
        <w:rPr>
          <w:rFonts w:ascii="仿宋_GB2312" w:eastAsia="仿宋_GB2312" w:hAnsi="宋体"/>
          <w:sz w:val="32"/>
          <w:szCs w:val="32"/>
        </w:rPr>
        <w:t>202</w:t>
      </w:r>
      <w:r w:rsidR="006416CF">
        <w:rPr>
          <w:rFonts w:ascii="仿宋_GB2312" w:eastAsia="仿宋_GB2312" w:hAnsi="宋体"/>
          <w:sz w:val="32"/>
          <w:szCs w:val="32"/>
        </w:rPr>
        <w:t>4</w:t>
      </w:r>
      <w:r>
        <w:rPr>
          <w:rFonts w:ascii="仿宋_GB2312" w:eastAsia="仿宋_GB2312" w:hAnsi="宋体" w:hint="eastAsia"/>
          <w:sz w:val="32"/>
          <w:szCs w:val="32"/>
        </w:rPr>
        <w:t>年度绿色金融以及社会与环境风险方面的年度概况、规划与目标，治理结构，政策制度，环境风险、机遇的分析与管理，自身运营对环境的影响，投融资过程中对环境影响，绿色金融创新及研究成果，绿色项目信息等相关信息。为</w:t>
      </w:r>
      <w:r>
        <w:rPr>
          <w:rFonts w:ascii="仿宋_GB2312" w:eastAsia="仿宋_GB2312" w:hAnsi="宋体" w:hint="eastAsia"/>
          <w:sz w:val="32"/>
          <w:szCs w:val="32"/>
          <w:lang w:bidi="zh-CN"/>
        </w:rPr>
        <w:t>提高透明度和信誉，增强公众知情权，不断强化为各利益相关方和社会公众提供高质量信息披露的责任意识，</w:t>
      </w:r>
      <w:r>
        <w:rPr>
          <w:rFonts w:ascii="仿宋_GB2312" w:eastAsia="仿宋_GB2312" w:hAnsi="宋体" w:hint="eastAsia"/>
          <w:sz w:val="32"/>
          <w:szCs w:val="32"/>
        </w:rPr>
        <w:t>以促进监管部门、各利益相关方与本行进行充分的沟通与了</w:t>
      </w:r>
      <w:r>
        <w:rPr>
          <w:rFonts w:ascii="仿宋_GB2312" w:eastAsia="仿宋_GB2312" w:hAnsi="宋体" w:hint="eastAsia"/>
          <w:sz w:val="32"/>
          <w:szCs w:val="32"/>
        </w:rPr>
        <w:lastRenderedPageBreak/>
        <w:t>解。</w:t>
      </w:r>
    </w:p>
    <w:p w:rsidR="00C13D7A" w:rsidRDefault="00933E15">
      <w:pPr>
        <w:pStyle w:val="a0"/>
        <w:snapToGrid w:val="0"/>
        <w:spacing w:beforeLines="0" w:before="0" w:afterLines="0" w:after="0" w:line="580" w:lineRule="exact"/>
        <w:outlineLvl w:val="1"/>
        <w:rPr>
          <w:rFonts w:ascii="楷体" w:eastAsia="楷体" w:hAnsi="楷体"/>
          <w:b/>
          <w:sz w:val="32"/>
          <w:szCs w:val="32"/>
        </w:rPr>
      </w:pPr>
      <w:bookmarkStart w:id="45" w:name="_Toc38615313"/>
      <w:bookmarkStart w:id="46" w:name="_Toc38615350"/>
      <w:bookmarkStart w:id="47" w:name="_Toc157583835"/>
      <w:bookmarkStart w:id="48" w:name="_Toc38615458"/>
      <w:bookmarkEnd w:id="40"/>
      <w:bookmarkEnd w:id="41"/>
      <w:bookmarkEnd w:id="42"/>
      <w:bookmarkEnd w:id="43"/>
      <w:bookmarkEnd w:id="44"/>
      <w:r>
        <w:rPr>
          <w:rFonts w:ascii="楷体" w:eastAsia="楷体" w:hAnsi="楷体" w:hint="eastAsia"/>
          <w:b/>
          <w:sz w:val="32"/>
          <w:szCs w:val="32"/>
        </w:rPr>
        <w:t>涵盖期间</w:t>
      </w:r>
      <w:bookmarkEnd w:id="45"/>
      <w:bookmarkEnd w:id="46"/>
      <w:bookmarkEnd w:id="47"/>
      <w:bookmarkEnd w:id="48"/>
      <w:r>
        <w:rPr>
          <w:rFonts w:ascii="Calibri" w:eastAsia="楷体" w:hAnsi="Calibri" w:cs="Calibri"/>
          <w:b/>
          <w:sz w:val="32"/>
          <w:szCs w:val="32"/>
        </w:rPr>
        <w:t> </w:t>
      </w:r>
    </w:p>
    <w:p w:rsidR="00C13D7A" w:rsidRDefault="00933E15">
      <w:pPr>
        <w:pStyle w:val="af5"/>
        <w:snapToGrid w:val="0"/>
        <w:spacing w:line="580" w:lineRule="exact"/>
        <w:ind w:firstLineChars="175" w:firstLine="560"/>
        <w:rPr>
          <w:rFonts w:ascii="仿宋_GB2312" w:eastAsia="仿宋_GB2312" w:hAnsi="宋体"/>
          <w:sz w:val="32"/>
          <w:szCs w:val="32"/>
        </w:rPr>
      </w:pPr>
      <w:r>
        <w:rPr>
          <w:rFonts w:ascii="仿宋_GB2312" w:eastAsia="仿宋_GB2312" w:hAnsi="宋体" w:hint="eastAsia"/>
          <w:sz w:val="32"/>
          <w:szCs w:val="32"/>
        </w:rPr>
        <w:t>本报告涵盖期限为202</w:t>
      </w:r>
      <w:r w:rsidR="006416CF">
        <w:rPr>
          <w:rFonts w:ascii="仿宋_GB2312" w:eastAsia="仿宋_GB2312" w:hAnsi="宋体"/>
          <w:sz w:val="32"/>
          <w:szCs w:val="32"/>
        </w:rPr>
        <w:t>4</w:t>
      </w:r>
      <w:r>
        <w:rPr>
          <w:rFonts w:ascii="仿宋_GB2312" w:eastAsia="仿宋_GB2312" w:hAnsi="宋体" w:hint="eastAsia"/>
          <w:sz w:val="32"/>
          <w:szCs w:val="32"/>
        </w:rPr>
        <w:t>年1月1日至202</w:t>
      </w:r>
      <w:r w:rsidR="006416CF">
        <w:rPr>
          <w:rFonts w:ascii="仿宋_GB2312" w:eastAsia="仿宋_GB2312" w:hAnsi="宋体"/>
          <w:sz w:val="32"/>
          <w:szCs w:val="32"/>
        </w:rPr>
        <w:t>4</w:t>
      </w:r>
      <w:r>
        <w:rPr>
          <w:rFonts w:ascii="仿宋_GB2312" w:eastAsia="仿宋_GB2312" w:hAnsi="宋体" w:hint="eastAsia"/>
          <w:sz w:val="32"/>
          <w:szCs w:val="32"/>
        </w:rPr>
        <w:t>年12月31日。</w:t>
      </w:r>
    </w:p>
    <w:p w:rsidR="00C13D7A" w:rsidRDefault="00933E15">
      <w:pPr>
        <w:pStyle w:val="a0"/>
        <w:snapToGrid w:val="0"/>
        <w:spacing w:beforeLines="0" w:before="0" w:afterLines="0" w:after="0" w:line="580" w:lineRule="exact"/>
        <w:outlineLvl w:val="1"/>
        <w:rPr>
          <w:rFonts w:ascii="楷体" w:eastAsia="楷体" w:hAnsi="楷体"/>
          <w:b/>
          <w:sz w:val="32"/>
          <w:szCs w:val="32"/>
        </w:rPr>
      </w:pPr>
      <w:bookmarkStart w:id="49" w:name="_Toc38615351"/>
      <w:bookmarkStart w:id="50" w:name="_Toc38615459"/>
      <w:bookmarkStart w:id="51" w:name="_Toc38615314"/>
      <w:bookmarkStart w:id="52" w:name="_Toc157583836"/>
      <w:r>
        <w:rPr>
          <w:rFonts w:ascii="楷体" w:eastAsia="楷体" w:hAnsi="楷体" w:hint="eastAsia"/>
          <w:b/>
          <w:sz w:val="32"/>
          <w:szCs w:val="32"/>
        </w:rPr>
        <w:t>报告</w:t>
      </w:r>
      <w:r>
        <w:rPr>
          <w:rFonts w:ascii="楷体" w:eastAsia="楷体" w:hAnsi="楷体"/>
          <w:b/>
          <w:sz w:val="32"/>
          <w:szCs w:val="32"/>
        </w:rPr>
        <w:t>周期</w:t>
      </w:r>
      <w:bookmarkEnd w:id="49"/>
      <w:bookmarkEnd w:id="50"/>
      <w:bookmarkEnd w:id="51"/>
      <w:bookmarkEnd w:id="52"/>
    </w:p>
    <w:p w:rsidR="00C13D7A" w:rsidRDefault="00933E15">
      <w:pPr>
        <w:pStyle w:val="af5"/>
        <w:snapToGrid w:val="0"/>
        <w:spacing w:line="580" w:lineRule="exact"/>
        <w:ind w:firstLineChars="50" w:firstLine="160"/>
        <w:rPr>
          <w:rFonts w:ascii="仿宋_GB2312" w:eastAsia="仿宋_GB2312" w:hAnsi="宋体"/>
          <w:sz w:val="32"/>
          <w:szCs w:val="32"/>
        </w:rPr>
      </w:pPr>
      <w:r>
        <w:rPr>
          <w:rFonts w:ascii="仿宋_GB2312" w:eastAsia="仿宋_GB2312" w:hAnsi="宋体" w:hint="eastAsia"/>
          <w:sz w:val="32"/>
          <w:szCs w:val="32"/>
        </w:rPr>
        <w:t xml:space="preserve">  本报告为年度报告。</w:t>
      </w:r>
    </w:p>
    <w:p w:rsidR="00C13D7A" w:rsidRDefault="00933E15">
      <w:pPr>
        <w:pStyle w:val="a0"/>
        <w:snapToGrid w:val="0"/>
        <w:spacing w:beforeLines="0" w:before="0" w:afterLines="0" w:after="0" w:line="580" w:lineRule="exact"/>
        <w:outlineLvl w:val="1"/>
        <w:rPr>
          <w:rFonts w:ascii="楷体" w:eastAsia="楷体" w:hAnsi="楷体"/>
          <w:b/>
          <w:sz w:val="32"/>
          <w:szCs w:val="32"/>
        </w:rPr>
      </w:pPr>
      <w:bookmarkStart w:id="53" w:name="_Toc38615460"/>
      <w:bookmarkStart w:id="54" w:name="_Toc38615315"/>
      <w:bookmarkStart w:id="55" w:name="_Toc38615352"/>
      <w:bookmarkStart w:id="56" w:name="_Toc157583837"/>
      <w:r>
        <w:rPr>
          <w:rFonts w:ascii="楷体" w:eastAsia="楷体" w:hAnsi="楷体" w:hint="eastAsia"/>
          <w:b/>
          <w:sz w:val="32"/>
          <w:szCs w:val="32"/>
        </w:rPr>
        <w:t>报告范围</w:t>
      </w:r>
      <w:bookmarkEnd w:id="53"/>
      <w:bookmarkEnd w:id="54"/>
      <w:bookmarkEnd w:id="55"/>
      <w:bookmarkEnd w:id="56"/>
    </w:p>
    <w:p w:rsidR="00C13D7A" w:rsidRDefault="00933E15">
      <w:pPr>
        <w:pStyle w:val="af5"/>
        <w:snapToGrid w:val="0"/>
        <w:spacing w:line="580" w:lineRule="exact"/>
        <w:ind w:firstLine="640"/>
        <w:rPr>
          <w:rFonts w:ascii="仿宋_GB2312" w:eastAsia="仿宋_GB2312" w:hAnsi="宋体"/>
          <w:sz w:val="32"/>
          <w:szCs w:val="32"/>
          <w:lang w:bidi="zh-CN"/>
        </w:rPr>
      </w:pPr>
      <w:r>
        <w:rPr>
          <w:rFonts w:ascii="仿宋_GB2312" w:eastAsia="仿宋_GB2312" w:hAnsi="宋体" w:hint="eastAsia"/>
          <w:sz w:val="32"/>
          <w:szCs w:val="32"/>
        </w:rPr>
        <w:t>本报告的披露范围包含浙江德清农村商业银行股份有限公司总部及辖内分支机构，</w:t>
      </w:r>
      <w:r>
        <w:rPr>
          <w:rFonts w:ascii="仿宋_GB2312" w:eastAsia="仿宋_GB2312" w:hAnsi="宋体" w:hint="eastAsia"/>
          <w:sz w:val="32"/>
          <w:szCs w:val="32"/>
          <w:lang w:bidi="zh-CN"/>
        </w:rPr>
        <w:t>为便于表述，在报告的表示中使用“本行”。</w:t>
      </w:r>
    </w:p>
    <w:p w:rsidR="00C13D7A" w:rsidRDefault="00933E15">
      <w:pPr>
        <w:pStyle w:val="a0"/>
        <w:snapToGrid w:val="0"/>
        <w:spacing w:beforeLines="0" w:before="0" w:afterLines="0" w:after="0" w:line="580" w:lineRule="exact"/>
        <w:outlineLvl w:val="1"/>
        <w:rPr>
          <w:rFonts w:ascii="楷体" w:eastAsia="楷体" w:hAnsi="楷体"/>
          <w:b/>
          <w:sz w:val="32"/>
          <w:szCs w:val="32"/>
          <w:lang w:bidi="zh-CN"/>
        </w:rPr>
      </w:pPr>
      <w:bookmarkStart w:id="57" w:name="_Toc38615353"/>
      <w:bookmarkStart w:id="58" w:name="_Toc38615461"/>
      <w:bookmarkStart w:id="59" w:name="_Toc157583838"/>
      <w:bookmarkStart w:id="60" w:name="_Toc38615316"/>
      <w:r>
        <w:rPr>
          <w:rFonts w:ascii="楷体" w:eastAsia="楷体" w:hAnsi="楷体" w:hint="eastAsia"/>
          <w:b/>
          <w:sz w:val="32"/>
          <w:szCs w:val="32"/>
          <w:lang w:bidi="zh-CN"/>
        </w:rPr>
        <w:t>报告</w:t>
      </w:r>
      <w:r>
        <w:rPr>
          <w:rFonts w:ascii="楷体" w:eastAsia="楷体" w:hAnsi="楷体"/>
          <w:b/>
          <w:sz w:val="32"/>
          <w:szCs w:val="32"/>
          <w:lang w:bidi="zh-CN"/>
        </w:rPr>
        <w:t>数据说明</w:t>
      </w:r>
      <w:bookmarkEnd w:id="57"/>
      <w:bookmarkEnd w:id="58"/>
      <w:bookmarkEnd w:id="59"/>
      <w:bookmarkEnd w:id="60"/>
    </w:p>
    <w:p w:rsidR="00C13D7A" w:rsidRDefault="00933E15">
      <w:pPr>
        <w:pStyle w:val="af5"/>
        <w:snapToGrid w:val="0"/>
        <w:spacing w:line="580" w:lineRule="exact"/>
        <w:ind w:firstLine="640"/>
        <w:rPr>
          <w:rFonts w:ascii="仿宋_GB2312" w:eastAsia="仿宋_GB2312" w:hAnsi="宋体"/>
          <w:sz w:val="32"/>
          <w:szCs w:val="32"/>
        </w:rPr>
      </w:pPr>
      <w:r>
        <w:rPr>
          <w:rFonts w:ascii="仿宋_GB2312" w:eastAsia="仿宋_GB2312" w:hAnsi="宋体" w:hint="eastAsia"/>
          <w:sz w:val="32"/>
          <w:szCs w:val="32"/>
        </w:rPr>
        <w:t>报告中的财务数据以202</w:t>
      </w:r>
      <w:r w:rsidR="006416CF">
        <w:rPr>
          <w:rFonts w:ascii="仿宋_GB2312" w:eastAsia="仿宋_GB2312" w:hAnsi="宋体"/>
          <w:sz w:val="32"/>
          <w:szCs w:val="32"/>
        </w:rPr>
        <w:t>4</w:t>
      </w:r>
      <w:r>
        <w:rPr>
          <w:rFonts w:ascii="仿宋_GB2312" w:eastAsia="仿宋_GB2312" w:hAnsi="宋体" w:hint="eastAsia"/>
          <w:sz w:val="32"/>
          <w:szCs w:val="32"/>
        </w:rPr>
        <w:t>年为主，部分包括以前年度数据，主要来自本行内部文件和相关统计资料，可能会有部分数据因统计口径因素（如合并报表口径和银行报表口径）与年报数据有差异，以年报数据为准。</w:t>
      </w:r>
    </w:p>
    <w:p w:rsidR="00C13D7A" w:rsidRDefault="00933E15">
      <w:pPr>
        <w:pStyle w:val="a0"/>
        <w:snapToGrid w:val="0"/>
        <w:spacing w:beforeLines="0" w:before="0" w:afterLines="0" w:after="0" w:line="580" w:lineRule="exact"/>
        <w:outlineLvl w:val="1"/>
        <w:rPr>
          <w:rFonts w:ascii="楷体" w:eastAsia="楷体" w:hAnsi="楷体"/>
          <w:b/>
          <w:sz w:val="32"/>
          <w:szCs w:val="32"/>
        </w:rPr>
      </w:pPr>
      <w:bookmarkStart w:id="61" w:name="_Toc38615354"/>
      <w:bookmarkStart w:id="62" w:name="_Toc157583839"/>
      <w:bookmarkStart w:id="63" w:name="_Toc38615462"/>
      <w:bookmarkStart w:id="64" w:name="_Toc38615317"/>
      <w:r>
        <w:rPr>
          <w:rFonts w:ascii="楷体" w:eastAsia="楷体" w:hAnsi="楷体" w:hint="eastAsia"/>
          <w:b/>
          <w:sz w:val="32"/>
          <w:szCs w:val="32"/>
        </w:rPr>
        <w:t>编制依据</w:t>
      </w:r>
      <w:bookmarkEnd w:id="61"/>
      <w:bookmarkEnd w:id="62"/>
      <w:bookmarkEnd w:id="63"/>
      <w:bookmarkEnd w:id="64"/>
    </w:p>
    <w:p w:rsidR="00C13D7A" w:rsidRDefault="00933E15">
      <w:pPr>
        <w:pStyle w:val="af5"/>
        <w:snapToGrid w:val="0"/>
        <w:spacing w:line="580" w:lineRule="exact"/>
        <w:ind w:firstLine="640"/>
        <w:rPr>
          <w:rFonts w:ascii="仿宋_GB2312" w:eastAsia="仿宋_GB2312" w:hAnsi="宋体"/>
          <w:sz w:val="32"/>
          <w:szCs w:val="32"/>
        </w:rPr>
      </w:pPr>
      <w:r>
        <w:rPr>
          <w:rFonts w:ascii="仿宋_GB2312" w:eastAsia="仿宋_GB2312" w:hAnsi="宋体" w:hint="eastAsia"/>
          <w:sz w:val="32"/>
          <w:szCs w:val="32"/>
        </w:rPr>
        <w:t>本报告内容遵循</w:t>
      </w:r>
      <w:r>
        <w:rPr>
          <w:rFonts w:ascii="仿宋_GB2312" w:eastAsia="仿宋_GB2312" w:hAnsi="仿宋_GB2312" w:cs="仿宋_GB2312" w:hint="eastAsia"/>
          <w:sz w:val="32"/>
          <w:szCs w:val="32"/>
        </w:rPr>
        <w:t>根据中国人民银行下发的</w:t>
      </w:r>
      <w:r>
        <w:rPr>
          <w:rFonts w:ascii="仿宋_GB2312" w:eastAsia="仿宋_GB2312" w:hAnsi="宋体" w:hint="eastAsia"/>
          <w:sz w:val="32"/>
          <w:szCs w:val="32"/>
        </w:rPr>
        <w:t>《银行业金融机构环境信息披露操作手册（试行）》及中国银保监会湖州分局发布的《湖州市银行业金融机构环境信息披露框架（2</w:t>
      </w:r>
      <w:r>
        <w:rPr>
          <w:rFonts w:ascii="仿宋_GB2312" w:eastAsia="仿宋_GB2312" w:hAnsi="宋体"/>
          <w:sz w:val="32"/>
          <w:szCs w:val="32"/>
        </w:rPr>
        <w:t>019-</w:t>
      </w:r>
      <w:r>
        <w:rPr>
          <w:rFonts w:ascii="仿宋_GB2312" w:eastAsia="仿宋_GB2312" w:hAnsi="宋体" w:hint="eastAsia"/>
          <w:sz w:val="32"/>
          <w:szCs w:val="32"/>
        </w:rPr>
        <w:t>2021版）》的相关要求。</w:t>
      </w:r>
    </w:p>
    <w:p w:rsidR="00C13D7A" w:rsidRDefault="00933E15">
      <w:pPr>
        <w:pStyle w:val="a"/>
        <w:tabs>
          <w:tab w:val="left" w:pos="720"/>
        </w:tabs>
        <w:spacing w:beforeLines="0" w:before="0" w:afterLines="0" w:after="0" w:line="580" w:lineRule="exact"/>
        <w:outlineLvl w:val="0"/>
        <w:rPr>
          <w:rFonts w:hAnsi="黑体"/>
          <w:b/>
          <w:sz w:val="32"/>
          <w:szCs w:val="32"/>
        </w:rPr>
      </w:pPr>
      <w:bookmarkStart w:id="65" w:name="_Toc38615318"/>
      <w:bookmarkStart w:id="66" w:name="_Toc157583840"/>
      <w:bookmarkStart w:id="67" w:name="_Toc38615355"/>
      <w:bookmarkStart w:id="68" w:name="_Toc38615463"/>
      <w:bookmarkEnd w:id="0"/>
      <w:bookmarkEnd w:id="1"/>
      <w:r>
        <w:rPr>
          <w:rFonts w:hAnsi="黑体" w:hint="eastAsia"/>
          <w:b/>
          <w:sz w:val="32"/>
          <w:szCs w:val="32"/>
        </w:rPr>
        <w:t>年度</w:t>
      </w:r>
      <w:r>
        <w:rPr>
          <w:rFonts w:hAnsi="黑体"/>
          <w:b/>
          <w:sz w:val="32"/>
          <w:szCs w:val="32"/>
        </w:rPr>
        <w:t>概况</w:t>
      </w:r>
      <w:bookmarkEnd w:id="65"/>
      <w:bookmarkEnd w:id="66"/>
      <w:bookmarkEnd w:id="67"/>
      <w:bookmarkEnd w:id="68"/>
    </w:p>
    <w:p w:rsidR="00C13D7A" w:rsidRDefault="00933E15">
      <w:pPr>
        <w:pStyle w:val="a0"/>
        <w:spacing w:beforeLines="0" w:before="0" w:afterLines="0" w:after="0" w:line="580" w:lineRule="exact"/>
        <w:ind w:leftChars="67" w:left="141"/>
        <w:jc w:val="both"/>
        <w:outlineLvl w:val="1"/>
        <w:rPr>
          <w:rFonts w:ascii="楷体" w:eastAsia="楷体" w:hAnsi="楷体"/>
          <w:b/>
          <w:sz w:val="32"/>
          <w:szCs w:val="32"/>
        </w:rPr>
      </w:pPr>
      <w:bookmarkStart w:id="69" w:name="_Toc38615356"/>
      <w:bookmarkStart w:id="70" w:name="_Toc38615464"/>
      <w:bookmarkStart w:id="71" w:name="_Toc38615319"/>
      <w:bookmarkStart w:id="72" w:name="_Toc157583841"/>
      <w:r>
        <w:rPr>
          <w:rFonts w:ascii="楷体" w:eastAsia="楷体" w:hAnsi="楷体" w:hint="eastAsia"/>
          <w:b/>
          <w:sz w:val="32"/>
          <w:szCs w:val="32"/>
          <w:lang w:val="zh-TW" w:eastAsia="zh-TW"/>
        </w:rPr>
        <w:t>总体概况</w:t>
      </w:r>
      <w:bookmarkEnd w:id="69"/>
      <w:bookmarkEnd w:id="70"/>
      <w:bookmarkEnd w:id="71"/>
      <w:bookmarkEnd w:id="72"/>
    </w:p>
    <w:p w:rsidR="00C13D7A" w:rsidRDefault="00933E15">
      <w:pPr>
        <w:spacing w:line="580" w:lineRule="exact"/>
        <w:ind w:firstLineChars="200" w:firstLine="640"/>
        <w:rPr>
          <w:rFonts w:ascii="仿宋_GB2312" w:eastAsia="仿宋_GB2312" w:hAnsi="宋体"/>
          <w:sz w:val="32"/>
          <w:szCs w:val="32"/>
        </w:rPr>
      </w:pPr>
      <w:bookmarkStart w:id="73" w:name="_Toc38615177"/>
      <w:bookmarkStart w:id="74" w:name="_Toc38615496"/>
      <w:bookmarkStart w:id="75" w:name="_Toc38615357"/>
      <w:bookmarkStart w:id="76" w:name="_Toc38615465"/>
      <w:bookmarkStart w:id="77" w:name="_Toc38615320"/>
      <w:r>
        <w:rPr>
          <w:rFonts w:ascii="仿宋_GB2312" w:eastAsia="仿宋_GB2312" w:hAnsi="宋体" w:hint="eastAsia"/>
          <w:sz w:val="32"/>
          <w:szCs w:val="32"/>
        </w:rPr>
        <w:t>浙江德清农村商业银行股份有限公司（以下简称“本行”）作为当地绿色金融主力军，以习近平生态文明思想为指引，紧紧围绕实现碳中和、碳中和决策部署，持续强化绿色金融</w:t>
      </w:r>
      <w:r>
        <w:rPr>
          <w:rFonts w:ascii="仿宋_GB2312" w:eastAsia="仿宋_GB2312" w:hAnsi="宋体" w:hint="eastAsia"/>
          <w:sz w:val="32"/>
          <w:szCs w:val="32"/>
        </w:rPr>
        <w:lastRenderedPageBreak/>
        <w:t>发展理念，始终坚持把发展绿色金融作为自身的长期战略和社会责任，大力推进绿色信贷业务，构建绿色支付金融体系，取得了良好的社会效益和自身效益。</w:t>
      </w:r>
      <w:bookmarkEnd w:id="73"/>
      <w:bookmarkEnd w:id="74"/>
      <w:bookmarkEnd w:id="75"/>
      <w:bookmarkEnd w:id="76"/>
      <w:bookmarkEnd w:id="77"/>
    </w:p>
    <w:p w:rsidR="00C13D7A" w:rsidRDefault="00933E15">
      <w:pPr>
        <w:pStyle w:val="23"/>
        <w:ind w:firstLineChars="162" w:firstLine="520"/>
        <w:rPr>
          <w:rFonts w:hAnsi="楷体"/>
          <w:kern w:val="2"/>
        </w:rPr>
      </w:pPr>
      <w:bookmarkStart w:id="78" w:name="_Toc157583842"/>
      <w:r>
        <w:rPr>
          <w:rFonts w:hAnsi="楷体" w:hint="eastAsia"/>
          <w:kern w:val="2"/>
        </w:rPr>
        <w:t>2.1.1制定绿色发展战略规划</w:t>
      </w:r>
      <w:bookmarkEnd w:id="78"/>
    </w:p>
    <w:p w:rsidR="00C13D7A" w:rsidRDefault="00933E15">
      <w:pPr>
        <w:ind w:firstLineChars="200" w:firstLine="640"/>
        <w:rPr>
          <w:rFonts w:ascii="仿宋_GB2312" w:eastAsia="仿宋_GB2312" w:hAnsi="宋体"/>
          <w:sz w:val="32"/>
          <w:szCs w:val="32"/>
        </w:rPr>
      </w:pPr>
      <w:r>
        <w:rPr>
          <w:rFonts w:ascii="仿宋_GB2312" w:eastAsia="仿宋_GB2312" w:hAnsi="宋体" w:hint="eastAsia"/>
          <w:sz w:val="32"/>
          <w:szCs w:val="32"/>
        </w:rPr>
        <w:t>一是明确绿色发展组织框架。从上到下依次设立董事会绿色金融委员会、领导小组、绿色金融部、绿色支行，形成董事会战略决策、领导小组部署推进、职能部门专业指导、绿色支行协同推进的绿色金融组织体系。二是明确绿色发展战略规划。制定《德清农商银行战略发展规划》《德清农商银行绿色金融改革行动方案》，明确制定绿色金融目标，确保绿色金融工作有效开展，加强绿色信贷考核，推动绿色金融高质量发展。三是明确绿色支行发展方向。充分发挥绿色专营支行网点优势，确保投放贷款全部为绿色贷款，同时，提高绿色企业综合授信力度，不断扩大服务低碳企业客户群，重点关注高碳企业绿色转型金融服务需求，做好绿色农房建造、农户光伏发电等绿色普惠方面信贷工作。</w:t>
      </w:r>
    </w:p>
    <w:p w:rsidR="00C13D7A" w:rsidRDefault="00933E15">
      <w:pPr>
        <w:pStyle w:val="23"/>
        <w:ind w:firstLineChars="162" w:firstLine="520"/>
        <w:rPr>
          <w:rFonts w:hAnsi="楷体"/>
          <w:kern w:val="2"/>
        </w:rPr>
      </w:pPr>
      <w:bookmarkStart w:id="79" w:name="_Toc157583843"/>
      <w:r>
        <w:rPr>
          <w:rFonts w:hAnsi="楷体" w:hint="eastAsia"/>
          <w:kern w:val="2"/>
        </w:rPr>
        <w:t>2.1.</w:t>
      </w:r>
      <w:r>
        <w:rPr>
          <w:rFonts w:hAnsi="楷体"/>
          <w:kern w:val="2"/>
        </w:rPr>
        <w:t>2</w:t>
      </w:r>
      <w:r>
        <w:rPr>
          <w:rFonts w:ascii="仿宋_GB2312" w:eastAsia="仿宋_GB2312" w:hAnsi="黑体" w:hint="eastAsia"/>
        </w:rPr>
        <w:t>建立绿色金融政策体系</w:t>
      </w:r>
      <w:bookmarkEnd w:id="79"/>
    </w:p>
    <w:p w:rsidR="00C13D7A" w:rsidRDefault="00933E15">
      <w:pPr>
        <w:ind w:firstLineChars="200" w:firstLine="640"/>
        <w:rPr>
          <w:rFonts w:ascii="仿宋_GB2312" w:eastAsia="仿宋_GB2312" w:hAnsi="宋体"/>
          <w:sz w:val="32"/>
          <w:szCs w:val="32"/>
        </w:rPr>
      </w:pPr>
      <w:r>
        <w:rPr>
          <w:rFonts w:ascii="仿宋_GB2312" w:eastAsia="仿宋_GB2312" w:hAnsi="宋体" w:hint="eastAsia"/>
          <w:sz w:val="32"/>
          <w:szCs w:val="32"/>
        </w:rPr>
        <w:t>一是健全绿色金融制度框架体系。根据各类绿色金融新政策，优化现有的绿色金融制度，形成涵盖业务流程、风险管理、绩效考核、绿色文化等的多维</w:t>
      </w:r>
      <w:proofErr w:type="gramStart"/>
      <w:r>
        <w:rPr>
          <w:rFonts w:ascii="仿宋_GB2312" w:eastAsia="仿宋_GB2312" w:hAnsi="宋体" w:hint="eastAsia"/>
          <w:sz w:val="32"/>
          <w:szCs w:val="32"/>
        </w:rPr>
        <w:t>度制度</w:t>
      </w:r>
      <w:proofErr w:type="gramEnd"/>
      <w:r>
        <w:rPr>
          <w:rFonts w:ascii="仿宋_GB2312" w:eastAsia="仿宋_GB2312" w:hAnsi="宋体" w:hint="eastAsia"/>
          <w:sz w:val="32"/>
          <w:szCs w:val="32"/>
        </w:rPr>
        <w:t>框架体系。二是健全绿色金融信贷管理机制。出台《绿色信贷指导意见》《绿色金融标杆工程活动实施方案》《德清农商银行绿色信贷分</w:t>
      </w:r>
      <w:r>
        <w:rPr>
          <w:rFonts w:ascii="仿宋_GB2312" w:eastAsia="仿宋_GB2312" w:hAnsi="宋体" w:hint="eastAsia"/>
          <w:sz w:val="32"/>
          <w:szCs w:val="32"/>
        </w:rPr>
        <w:lastRenderedPageBreak/>
        <w:t>类管理办法》等绿色金融相关制度，凸显对绿色经济、低碳经济、循环经济的支持力度，切实发挥金融支持绿色经济发展的引领和推动作用。三是健全绿色金融业绩考核体系。制定《浙江德清农村商业银行股份有限公司绿色金融业务考核实施细则》《支行（营业部）及网点业务指标考核体系指标设置及说明》，制定差异化的绿色贷款授信政策，实行绿色年审制，调整绿色信贷审批权限，开通绿色审批通道。</w:t>
      </w:r>
    </w:p>
    <w:p w:rsidR="00C13D7A" w:rsidRDefault="00933E15">
      <w:pPr>
        <w:pStyle w:val="23"/>
        <w:ind w:firstLineChars="162" w:firstLine="520"/>
        <w:rPr>
          <w:rFonts w:hAnsi="楷体"/>
          <w:kern w:val="2"/>
        </w:rPr>
      </w:pPr>
      <w:bookmarkStart w:id="80" w:name="_Toc157583844"/>
      <w:r>
        <w:rPr>
          <w:rFonts w:hAnsi="楷体" w:hint="eastAsia"/>
          <w:kern w:val="2"/>
        </w:rPr>
        <w:t>2.1.</w:t>
      </w:r>
      <w:r>
        <w:rPr>
          <w:rFonts w:hAnsi="楷体"/>
          <w:kern w:val="2"/>
        </w:rPr>
        <w:t>3</w:t>
      </w:r>
      <w:r>
        <w:rPr>
          <w:rFonts w:ascii="仿宋_GB2312" w:eastAsia="仿宋_GB2312" w:hAnsi="黑体" w:hint="eastAsia"/>
        </w:rPr>
        <w:t>创新绿色金融产品服务</w:t>
      </w:r>
      <w:bookmarkEnd w:id="80"/>
    </w:p>
    <w:p w:rsidR="00C13D7A" w:rsidRDefault="00933E15">
      <w:pPr>
        <w:ind w:firstLineChars="200" w:firstLine="640"/>
        <w:rPr>
          <w:szCs w:val="21"/>
        </w:rPr>
      </w:pPr>
      <w:r w:rsidRPr="005E236D">
        <w:rPr>
          <w:rFonts w:ascii="仿宋_GB2312" w:eastAsia="仿宋_GB2312" w:hAnsi="宋体" w:hint="eastAsia"/>
          <w:sz w:val="32"/>
          <w:szCs w:val="32"/>
        </w:rPr>
        <w:t>一是创新绿色低碳产品。</w:t>
      </w:r>
      <w:r w:rsidRPr="005E236D">
        <w:rPr>
          <w:rFonts w:ascii="仿宋_GB2312" w:eastAsia="仿宋_GB2312" w:hAnsi="宋体"/>
          <w:sz w:val="32"/>
          <w:szCs w:val="32"/>
        </w:rPr>
        <w:t>创新推动</w:t>
      </w:r>
      <w:proofErr w:type="gramStart"/>
      <w:r w:rsidRPr="005E236D">
        <w:rPr>
          <w:rFonts w:ascii="仿宋_GB2312" w:eastAsia="仿宋_GB2312" w:hAnsi="宋体"/>
          <w:sz w:val="32"/>
          <w:szCs w:val="32"/>
        </w:rPr>
        <w:t>碳效贷</w:t>
      </w:r>
      <w:proofErr w:type="gramEnd"/>
      <w:r w:rsidRPr="005E236D">
        <w:rPr>
          <w:rFonts w:ascii="仿宋_GB2312" w:eastAsia="仿宋_GB2312" w:hAnsi="宋体"/>
          <w:sz w:val="32"/>
          <w:szCs w:val="32"/>
        </w:rPr>
        <w:t>、碳排放配额抵押贷、绿色工厂贷、</w:t>
      </w:r>
      <w:r w:rsidRPr="005E236D">
        <w:rPr>
          <w:rFonts w:ascii="仿宋_GB2312" w:eastAsia="仿宋_GB2312" w:hAnsi="宋体"/>
          <w:sz w:val="32"/>
          <w:szCs w:val="32"/>
        </w:rPr>
        <w:t>“</w:t>
      </w:r>
      <w:r w:rsidRPr="005E236D">
        <w:rPr>
          <w:rFonts w:ascii="仿宋_GB2312" w:eastAsia="仿宋_GB2312" w:hAnsi="宋体"/>
          <w:sz w:val="32"/>
          <w:szCs w:val="32"/>
        </w:rPr>
        <w:t>零碳</w:t>
      </w:r>
      <w:r w:rsidRPr="005E236D">
        <w:rPr>
          <w:rFonts w:ascii="仿宋_GB2312" w:eastAsia="仿宋_GB2312" w:hAnsi="宋体"/>
          <w:sz w:val="32"/>
          <w:szCs w:val="32"/>
        </w:rPr>
        <w:t>”</w:t>
      </w:r>
      <w:r w:rsidRPr="005E236D">
        <w:rPr>
          <w:rFonts w:ascii="仿宋_GB2312" w:eastAsia="仿宋_GB2312" w:hAnsi="宋体"/>
          <w:sz w:val="32"/>
          <w:szCs w:val="32"/>
        </w:rPr>
        <w:t>系列贷、</w:t>
      </w:r>
      <w:r w:rsidRPr="005E236D">
        <w:rPr>
          <w:rFonts w:ascii="仿宋_GB2312" w:eastAsia="仿宋_GB2312" w:hAnsi="宋体"/>
          <w:sz w:val="32"/>
          <w:szCs w:val="32"/>
        </w:rPr>
        <w:t>“</w:t>
      </w:r>
      <w:r w:rsidRPr="005E236D">
        <w:rPr>
          <w:rFonts w:ascii="仿宋_GB2312" w:eastAsia="仿宋_GB2312" w:hAnsi="宋体"/>
          <w:sz w:val="32"/>
          <w:szCs w:val="32"/>
        </w:rPr>
        <w:t>两山</w:t>
      </w:r>
      <w:r w:rsidRPr="005E236D">
        <w:rPr>
          <w:rFonts w:ascii="仿宋_GB2312" w:eastAsia="仿宋_GB2312" w:hAnsi="宋体"/>
          <w:sz w:val="32"/>
          <w:szCs w:val="32"/>
        </w:rPr>
        <w:t>”</w:t>
      </w:r>
      <w:r w:rsidRPr="005E236D">
        <w:rPr>
          <w:rFonts w:ascii="仿宋_GB2312" w:eastAsia="仿宋_GB2312" w:hAnsi="宋体"/>
          <w:sz w:val="32"/>
          <w:szCs w:val="32"/>
        </w:rPr>
        <w:t>系列等新型绿色产品，构建以碳排放为重点的绿色金融服务体系，加大对绿色企业、绿色产业、绿色项目的金融资源支持。目前，</w:t>
      </w:r>
      <w:r w:rsidR="005E236D" w:rsidRPr="005E236D">
        <w:rPr>
          <w:rFonts w:ascii="仿宋_GB2312" w:eastAsia="仿宋_GB2312" w:hint="eastAsia"/>
          <w:sz w:val="32"/>
          <w:szCs w:val="32"/>
        </w:rPr>
        <w:t>共发放“绿色工厂贷”356户、56.66亿元。</w:t>
      </w:r>
      <w:r w:rsidRPr="005E236D">
        <w:rPr>
          <w:rFonts w:ascii="仿宋_GB2312" w:eastAsia="仿宋_GB2312" w:hAnsi="宋体" w:hint="eastAsia"/>
          <w:sz w:val="32"/>
          <w:szCs w:val="32"/>
        </w:rPr>
        <w:t>；</w:t>
      </w:r>
      <w:r w:rsidR="005E236D" w:rsidRPr="005E236D">
        <w:rPr>
          <w:rFonts w:ascii="仿宋_GB2312" w:eastAsia="仿宋_GB2312" w:hint="eastAsia"/>
          <w:sz w:val="32"/>
          <w:szCs w:val="32"/>
        </w:rPr>
        <w:t>已发放“绿色碳效贷”332户、47.70亿元</w:t>
      </w:r>
      <w:r w:rsidRPr="005E236D">
        <w:rPr>
          <w:rFonts w:ascii="仿宋_GB2312" w:eastAsia="仿宋_GB2312" w:hAnsi="宋体"/>
          <w:sz w:val="32"/>
          <w:szCs w:val="32"/>
        </w:rPr>
        <w:t>。</w:t>
      </w:r>
      <w:r w:rsidRPr="005E236D">
        <w:rPr>
          <w:rFonts w:ascii="仿宋_GB2312" w:eastAsia="仿宋_GB2312" w:hAnsi="宋体" w:hint="eastAsia"/>
          <w:sz w:val="32"/>
          <w:szCs w:val="32"/>
        </w:rPr>
        <w:t>二是创新绿色小微产品。</w:t>
      </w:r>
      <w:r w:rsidRPr="005E236D">
        <w:rPr>
          <w:rFonts w:ascii="仿宋_GB2312" w:eastAsia="仿宋_GB2312" w:hAnsi="宋体"/>
          <w:sz w:val="32"/>
          <w:szCs w:val="32"/>
        </w:rPr>
        <w:t>持续推进GEP绿色贷、</w:t>
      </w:r>
      <w:proofErr w:type="gramStart"/>
      <w:r w:rsidRPr="005E236D">
        <w:rPr>
          <w:rFonts w:ascii="仿宋_GB2312" w:eastAsia="仿宋_GB2312" w:hAnsi="宋体"/>
          <w:sz w:val="32"/>
          <w:szCs w:val="32"/>
        </w:rPr>
        <w:t>绿币公益</w:t>
      </w:r>
      <w:proofErr w:type="gramEnd"/>
      <w:r w:rsidRPr="005E236D">
        <w:rPr>
          <w:rFonts w:ascii="仿宋_GB2312" w:eastAsia="仿宋_GB2312" w:hAnsi="宋体"/>
          <w:sz w:val="32"/>
          <w:szCs w:val="32"/>
        </w:rPr>
        <w:t>贷、</w:t>
      </w:r>
      <w:proofErr w:type="gramStart"/>
      <w:r w:rsidRPr="005E236D">
        <w:rPr>
          <w:rFonts w:ascii="仿宋_GB2312" w:eastAsia="仿宋_GB2312" w:hAnsi="宋体"/>
          <w:sz w:val="32"/>
          <w:szCs w:val="32"/>
        </w:rPr>
        <w:t>绿能</w:t>
      </w:r>
      <w:proofErr w:type="gramEnd"/>
      <w:r w:rsidRPr="005E236D">
        <w:rPr>
          <w:rFonts w:ascii="仿宋_GB2312" w:eastAsia="仿宋_GB2312" w:hAnsi="宋体"/>
          <w:sz w:val="32"/>
          <w:szCs w:val="32"/>
        </w:rPr>
        <w:t>光伏贷</w:t>
      </w:r>
      <w:r w:rsidRPr="005E236D">
        <w:rPr>
          <w:rFonts w:ascii="仿宋_GB2312" w:eastAsia="仿宋_GB2312" w:hAnsi="宋体" w:hint="eastAsia"/>
          <w:sz w:val="32"/>
          <w:szCs w:val="32"/>
        </w:rPr>
        <w:t>、垃圾分类贷</w:t>
      </w:r>
      <w:r w:rsidRPr="005E236D">
        <w:rPr>
          <w:rFonts w:ascii="仿宋_GB2312" w:eastAsia="仿宋_GB2312" w:hAnsi="宋体"/>
          <w:sz w:val="32"/>
          <w:szCs w:val="32"/>
        </w:rPr>
        <w:t>等产品，</w:t>
      </w:r>
      <w:proofErr w:type="gramStart"/>
      <w:r w:rsidRPr="005E236D">
        <w:rPr>
          <w:rFonts w:ascii="仿宋_GB2312" w:eastAsia="仿宋_GB2312" w:hAnsi="宋体"/>
          <w:sz w:val="32"/>
          <w:szCs w:val="32"/>
        </w:rPr>
        <w:t>全领</w:t>
      </w:r>
      <w:proofErr w:type="gramEnd"/>
      <w:r w:rsidRPr="005E236D">
        <w:rPr>
          <w:rFonts w:ascii="仿宋_GB2312" w:eastAsia="仿宋_GB2312" w:hAnsi="宋体"/>
          <w:sz w:val="32"/>
          <w:szCs w:val="32"/>
        </w:rPr>
        <w:t>域支持绿色主体。目前</w:t>
      </w:r>
      <w:r w:rsidRPr="005E236D">
        <w:rPr>
          <w:rFonts w:ascii="仿宋_GB2312" w:eastAsia="仿宋_GB2312" w:hAnsi="宋体" w:hint="eastAsia"/>
          <w:sz w:val="32"/>
          <w:szCs w:val="32"/>
        </w:rPr>
        <w:t>，</w:t>
      </w:r>
      <w:proofErr w:type="gramStart"/>
      <w:r w:rsidRPr="005E236D">
        <w:rPr>
          <w:rFonts w:ascii="仿宋_GB2312" w:eastAsia="仿宋_GB2312" w:hAnsi="Calibri" w:hint="eastAsia"/>
          <w:sz w:val="32"/>
          <w:szCs w:val="32"/>
        </w:rPr>
        <w:t>绿币公益贷已</w:t>
      </w:r>
      <w:proofErr w:type="gramEnd"/>
      <w:r w:rsidRPr="005E236D">
        <w:rPr>
          <w:rFonts w:ascii="仿宋_GB2312" w:eastAsia="仿宋_GB2312" w:hAnsi="Calibri" w:hint="eastAsia"/>
          <w:sz w:val="32"/>
          <w:szCs w:val="32"/>
        </w:rPr>
        <w:t>累计发放</w:t>
      </w:r>
      <w:r w:rsidRPr="005E236D">
        <w:rPr>
          <w:rFonts w:eastAsia="仿宋_GB2312" w:hAnsi="Calibri" w:hint="eastAsia"/>
          <w:sz w:val="32"/>
          <w:szCs w:val="32"/>
        </w:rPr>
        <w:t>2</w:t>
      </w:r>
      <w:r w:rsidRPr="005E236D">
        <w:rPr>
          <w:rFonts w:ascii="仿宋_GB2312" w:eastAsia="仿宋_GB2312" w:hAnsi="Calibri" w:hint="eastAsia"/>
          <w:sz w:val="32"/>
          <w:szCs w:val="32"/>
        </w:rPr>
        <w:t>亿元，</w:t>
      </w:r>
      <w:r w:rsidRPr="005E236D">
        <w:rPr>
          <w:rFonts w:ascii="仿宋_GB2312" w:eastAsia="仿宋_GB2312" w:hAnsi="宋体"/>
          <w:sz w:val="32"/>
          <w:szCs w:val="32"/>
        </w:rPr>
        <w:t>全县治水</w:t>
      </w:r>
      <w:r w:rsidRPr="005E236D">
        <w:rPr>
          <w:rFonts w:ascii="仿宋_GB2312" w:eastAsia="仿宋_GB2312" w:hAnsi="Calibri" w:hint="eastAsia"/>
          <w:sz w:val="32"/>
          <w:szCs w:val="32"/>
        </w:rPr>
        <w:t>专项资金池使用率达</w:t>
      </w:r>
      <w:r w:rsidRPr="005E236D">
        <w:rPr>
          <w:rFonts w:eastAsia="仿宋_GB2312" w:hint="eastAsia"/>
          <w:sz w:val="32"/>
          <w:szCs w:val="32"/>
        </w:rPr>
        <w:t>100%</w:t>
      </w:r>
      <w:r w:rsidRPr="005E236D">
        <w:rPr>
          <w:rFonts w:eastAsia="仿宋_GB2312" w:hint="eastAsia"/>
          <w:sz w:val="32"/>
          <w:szCs w:val="32"/>
        </w:rPr>
        <w:t>；垃圾分类贷</w:t>
      </w:r>
      <w:r w:rsidRPr="005E236D">
        <w:rPr>
          <w:rFonts w:ascii="仿宋_GB2312" w:eastAsia="仿宋_GB2312" w:hAnsi="Calibri" w:hint="eastAsia"/>
          <w:sz w:val="32"/>
          <w:szCs w:val="32"/>
        </w:rPr>
        <w:t>累计申请贷款</w:t>
      </w:r>
      <w:r w:rsidRPr="005E236D">
        <w:rPr>
          <w:rFonts w:eastAsia="仿宋_GB2312" w:hAnsi="Calibri" w:hint="eastAsia"/>
          <w:sz w:val="32"/>
          <w:szCs w:val="32"/>
        </w:rPr>
        <w:t>265</w:t>
      </w:r>
      <w:r w:rsidRPr="005E236D">
        <w:rPr>
          <w:rFonts w:ascii="仿宋_GB2312" w:eastAsia="仿宋_GB2312" w:hAnsi="Calibri" w:hint="eastAsia"/>
          <w:sz w:val="32"/>
          <w:szCs w:val="32"/>
        </w:rPr>
        <w:t>户、意向金额</w:t>
      </w:r>
      <w:r w:rsidRPr="005E236D">
        <w:rPr>
          <w:rFonts w:eastAsia="仿宋_GB2312" w:hint="eastAsia"/>
          <w:sz w:val="32"/>
          <w:szCs w:val="32"/>
        </w:rPr>
        <w:t>11673</w:t>
      </w:r>
      <w:r w:rsidRPr="005E236D">
        <w:rPr>
          <w:rFonts w:ascii="仿宋_GB2312" w:eastAsia="仿宋_GB2312" w:hAnsi="Calibri" w:hint="eastAsia"/>
          <w:sz w:val="32"/>
          <w:szCs w:val="32"/>
        </w:rPr>
        <w:t>万元，累计发放贷款</w:t>
      </w:r>
      <w:r w:rsidRPr="005E236D">
        <w:rPr>
          <w:rFonts w:eastAsia="仿宋_GB2312" w:hint="eastAsia"/>
          <w:sz w:val="32"/>
          <w:szCs w:val="32"/>
        </w:rPr>
        <w:t>184</w:t>
      </w:r>
      <w:r w:rsidRPr="005E236D">
        <w:rPr>
          <w:rFonts w:ascii="仿宋_GB2312" w:eastAsia="仿宋_GB2312" w:hAnsi="Calibri" w:hint="eastAsia"/>
          <w:sz w:val="32"/>
          <w:szCs w:val="32"/>
        </w:rPr>
        <w:t>户，发放金额</w:t>
      </w:r>
      <w:r w:rsidRPr="005E236D">
        <w:rPr>
          <w:rFonts w:eastAsia="仿宋_GB2312" w:hint="eastAsia"/>
          <w:sz w:val="32"/>
          <w:szCs w:val="32"/>
        </w:rPr>
        <w:t>6158.4</w:t>
      </w:r>
      <w:r w:rsidRPr="005E236D">
        <w:rPr>
          <w:rFonts w:ascii="仿宋_GB2312" w:eastAsia="仿宋_GB2312" w:hAnsi="Calibri" w:hint="eastAsia"/>
          <w:sz w:val="32"/>
          <w:szCs w:val="32"/>
        </w:rPr>
        <w:t>万元</w:t>
      </w:r>
      <w:r w:rsidRPr="005E236D">
        <w:rPr>
          <w:rFonts w:eastAsia="仿宋_GB2312" w:hint="eastAsia"/>
          <w:sz w:val="32"/>
          <w:szCs w:val="32"/>
        </w:rPr>
        <w:t>；</w:t>
      </w:r>
      <w:r w:rsidRPr="005E236D">
        <w:rPr>
          <w:rFonts w:ascii="仿宋_GB2312" w:eastAsia="仿宋_GB2312" w:hint="eastAsia"/>
          <w:sz w:val="32"/>
          <w:szCs w:val="32"/>
        </w:rPr>
        <w:t>发放</w:t>
      </w:r>
      <w:r w:rsidRPr="005E236D">
        <w:rPr>
          <w:rFonts w:eastAsia="仿宋_GB2312" w:hint="eastAsia"/>
          <w:sz w:val="32"/>
          <w:szCs w:val="32"/>
        </w:rPr>
        <w:t>“绿能光伏贷”</w:t>
      </w:r>
      <w:r w:rsidRPr="005E236D">
        <w:rPr>
          <w:rFonts w:eastAsia="仿宋_GB2312" w:hint="eastAsia"/>
          <w:sz w:val="32"/>
          <w:szCs w:val="32"/>
        </w:rPr>
        <w:t>10</w:t>
      </w:r>
      <w:r w:rsidRPr="005E236D">
        <w:rPr>
          <w:rFonts w:ascii="仿宋_GB2312" w:eastAsia="仿宋_GB2312" w:hint="eastAsia"/>
          <w:sz w:val="32"/>
          <w:szCs w:val="32"/>
        </w:rPr>
        <w:t>户、</w:t>
      </w:r>
      <w:r w:rsidRPr="005E236D">
        <w:rPr>
          <w:rFonts w:eastAsia="仿宋_GB2312" w:hint="eastAsia"/>
          <w:sz w:val="32"/>
          <w:szCs w:val="32"/>
        </w:rPr>
        <w:t>2371</w:t>
      </w:r>
      <w:r w:rsidRPr="005E236D">
        <w:rPr>
          <w:rFonts w:ascii="仿宋_GB2312" w:eastAsia="仿宋_GB2312" w:hint="eastAsia"/>
          <w:sz w:val="32"/>
          <w:szCs w:val="32"/>
        </w:rPr>
        <w:t>万元</w:t>
      </w:r>
      <w:r w:rsidRPr="005E236D">
        <w:rPr>
          <w:rFonts w:eastAsia="仿宋_GB2312" w:hint="eastAsia"/>
          <w:sz w:val="32"/>
          <w:szCs w:val="32"/>
        </w:rPr>
        <w:t>。</w:t>
      </w:r>
      <w:r w:rsidR="005E236D" w:rsidRPr="005E236D">
        <w:rPr>
          <w:rFonts w:ascii="仿宋_GB2312" w:eastAsia="仿宋_GB2312" w:hint="eastAsia"/>
          <w:sz w:val="32"/>
          <w:szCs w:val="32"/>
        </w:rPr>
        <w:t>三是创新“设备更新贷”、“企易贷”、“消费易贷”等专属产品。并制定转型金融相关管理办法，并在信贷准</w:t>
      </w:r>
      <w:r w:rsidR="005E236D" w:rsidRPr="00742CDB">
        <w:rPr>
          <w:rFonts w:ascii="仿宋_GB2312" w:eastAsia="仿宋_GB2312" w:hint="eastAsia"/>
          <w:sz w:val="32"/>
          <w:szCs w:val="32"/>
        </w:rPr>
        <w:t>入、授信审批、利率定价等方面给予专项支持，截至12月末，对</w:t>
      </w:r>
      <w:r w:rsidR="005E236D" w:rsidRPr="00742CDB">
        <w:rPr>
          <w:rFonts w:ascii="仿宋_GB2312" w:eastAsia="仿宋_GB2312" w:hint="eastAsia"/>
          <w:sz w:val="32"/>
          <w:szCs w:val="32"/>
        </w:rPr>
        <w:lastRenderedPageBreak/>
        <w:t>纳入重点领域设备更新融资需求清单内企业走访率100%，当年清单内企业新增授信累计金额5.9亿元、用信4.94亿元；支持转型企业清单内项目1.34亿元、支持转型企业0.75亿元、支持转型技术1.57亿元。</w:t>
      </w:r>
    </w:p>
    <w:p w:rsidR="00C13D7A" w:rsidRDefault="00933E15">
      <w:pPr>
        <w:pStyle w:val="a0"/>
        <w:spacing w:beforeLines="0" w:before="0" w:afterLines="0" w:after="0" w:line="580" w:lineRule="exact"/>
        <w:ind w:leftChars="67" w:left="141"/>
        <w:jc w:val="both"/>
        <w:outlineLvl w:val="1"/>
        <w:rPr>
          <w:rFonts w:ascii="楷体" w:eastAsia="PMingLiU" w:hAnsi="楷体"/>
          <w:b/>
          <w:sz w:val="32"/>
          <w:szCs w:val="32"/>
          <w:lang w:val="zh-TW" w:eastAsia="zh-TW"/>
        </w:rPr>
      </w:pPr>
      <w:bookmarkStart w:id="81" w:name="_Toc157583845"/>
      <w:r>
        <w:rPr>
          <w:rFonts w:ascii="楷体" w:eastAsia="楷体" w:hAnsi="楷体" w:hint="eastAsia"/>
          <w:b/>
          <w:sz w:val="32"/>
          <w:szCs w:val="32"/>
          <w:lang w:val="zh-TW" w:eastAsia="zh-TW"/>
        </w:rPr>
        <w:t>关键成果绩效</w:t>
      </w:r>
      <w:bookmarkEnd w:id="81"/>
    </w:p>
    <w:p w:rsidR="00C13D7A" w:rsidRDefault="00933E15">
      <w:pPr>
        <w:pStyle w:val="a0"/>
        <w:numPr>
          <w:ilvl w:val="0"/>
          <w:numId w:val="0"/>
        </w:numPr>
        <w:spacing w:beforeLines="0" w:before="0" w:afterLines="0" w:after="0" w:line="580" w:lineRule="exact"/>
        <w:ind w:left="141" w:firstLineChars="100" w:firstLine="320"/>
        <w:jc w:val="both"/>
        <w:outlineLvl w:val="1"/>
        <w:rPr>
          <w:rFonts w:ascii="楷体" w:eastAsia="楷体" w:hAnsi="楷体"/>
          <w:b/>
          <w:sz w:val="32"/>
          <w:szCs w:val="32"/>
          <w:lang w:val="zh-TW" w:eastAsia="zh-TW"/>
        </w:rPr>
      </w:pPr>
      <w:bookmarkStart w:id="82" w:name="_Toc157583846"/>
      <w:r>
        <w:rPr>
          <w:rFonts w:ascii="楷体" w:eastAsia="楷体" w:hAnsi="楷体" w:hint="eastAsia"/>
          <w:sz w:val="32"/>
          <w:szCs w:val="32"/>
          <w:lang w:val="zh-TW" w:eastAsia="zh-TW"/>
        </w:rPr>
        <w:t>2.2.1</w:t>
      </w:r>
      <w:r>
        <w:rPr>
          <w:rFonts w:ascii="楷体" w:eastAsia="楷体" w:hAnsi="楷体" w:hint="eastAsia"/>
          <w:b/>
          <w:sz w:val="32"/>
          <w:szCs w:val="32"/>
          <w:lang w:val="zh-TW" w:eastAsia="zh-TW"/>
        </w:rPr>
        <w:t>绿色金融业务情况</w:t>
      </w:r>
      <w:bookmarkEnd w:id="82"/>
    </w:p>
    <w:p w:rsidR="00C13D7A" w:rsidRDefault="00933E15">
      <w:pPr>
        <w:spacing w:line="580" w:lineRule="exact"/>
        <w:ind w:firstLineChars="200" w:firstLine="640"/>
        <w:rPr>
          <w:rFonts w:ascii="仿宋_GB2312" w:eastAsia="仿宋_GB2312" w:hAnsi="宋体"/>
          <w:sz w:val="32"/>
          <w:szCs w:val="32"/>
        </w:rPr>
      </w:pPr>
      <w:bookmarkStart w:id="83" w:name="_Hlk98339911"/>
      <w:bookmarkStart w:id="84" w:name="_Hlk38482717"/>
      <w:r w:rsidRPr="005A232F">
        <w:rPr>
          <w:rFonts w:ascii="仿宋_GB2312" w:eastAsia="仿宋_GB2312" w:hAnsi="宋体" w:hint="eastAsia"/>
          <w:sz w:val="32"/>
          <w:szCs w:val="32"/>
        </w:rPr>
        <w:t>至202</w:t>
      </w:r>
      <w:r w:rsidR="006416CF" w:rsidRPr="005A232F">
        <w:rPr>
          <w:rFonts w:ascii="仿宋_GB2312" w:eastAsia="仿宋_GB2312" w:hAnsi="宋体"/>
          <w:sz w:val="32"/>
          <w:szCs w:val="32"/>
        </w:rPr>
        <w:t>4</w:t>
      </w:r>
      <w:r w:rsidRPr="005A232F">
        <w:rPr>
          <w:rFonts w:ascii="仿宋_GB2312" w:eastAsia="仿宋_GB2312" w:hAnsi="宋体" w:hint="eastAsia"/>
          <w:sz w:val="32"/>
          <w:szCs w:val="32"/>
        </w:rPr>
        <w:t>年四季度，</w:t>
      </w:r>
      <w:r w:rsidR="006416CF" w:rsidRPr="005A232F">
        <w:rPr>
          <w:rFonts w:ascii="仿宋_GB2312" w:eastAsia="仿宋_GB2312" w:hAnsi="宋体" w:hint="eastAsia"/>
          <w:sz w:val="32"/>
          <w:szCs w:val="32"/>
        </w:rPr>
        <w:t>金监</w:t>
      </w:r>
      <w:r w:rsidRPr="005A232F">
        <w:rPr>
          <w:rFonts w:ascii="仿宋_GB2312" w:eastAsia="仿宋_GB2312" w:hAnsi="宋体" w:hint="eastAsia"/>
          <w:sz w:val="32"/>
          <w:szCs w:val="32"/>
        </w:rPr>
        <w:t>口径绿色贷款余额</w:t>
      </w:r>
      <w:r w:rsidR="005A232F" w:rsidRPr="005A232F">
        <w:rPr>
          <w:rFonts w:ascii="仿宋_GB2312" w:eastAsia="仿宋_GB2312" w:hAnsi="宋体"/>
          <w:sz w:val="32"/>
          <w:szCs w:val="32"/>
        </w:rPr>
        <w:t>154.49</w:t>
      </w:r>
      <w:r w:rsidRPr="005A232F">
        <w:rPr>
          <w:rFonts w:ascii="仿宋_GB2312" w:eastAsia="仿宋_GB2312" w:hAnsi="宋体" w:hint="eastAsia"/>
          <w:sz w:val="32"/>
          <w:szCs w:val="32"/>
        </w:rPr>
        <w:t>亿元，较年初新增</w:t>
      </w:r>
      <w:r w:rsidR="005A232F" w:rsidRPr="005A232F">
        <w:rPr>
          <w:rFonts w:ascii="仿宋_GB2312" w:eastAsia="仿宋_GB2312" w:hAnsi="宋体"/>
          <w:sz w:val="32"/>
          <w:szCs w:val="32"/>
        </w:rPr>
        <w:t>40.29</w:t>
      </w:r>
      <w:r w:rsidRPr="005A232F">
        <w:rPr>
          <w:rFonts w:ascii="仿宋_GB2312" w:eastAsia="仿宋_GB2312" w:hAnsi="宋体" w:hint="eastAsia"/>
          <w:sz w:val="32"/>
          <w:szCs w:val="32"/>
        </w:rPr>
        <w:t>亿元，增幅</w:t>
      </w:r>
      <w:r w:rsidR="005A232F" w:rsidRPr="005A232F">
        <w:rPr>
          <w:rFonts w:ascii="仿宋_GB2312" w:eastAsia="仿宋_GB2312" w:hAnsi="宋体"/>
          <w:sz w:val="32"/>
          <w:szCs w:val="32"/>
        </w:rPr>
        <w:t>35.28</w:t>
      </w:r>
      <w:r w:rsidRPr="005A232F">
        <w:rPr>
          <w:rFonts w:ascii="仿宋_GB2312" w:eastAsia="仿宋_GB2312" w:hAnsi="宋体" w:hint="eastAsia"/>
          <w:sz w:val="32"/>
          <w:szCs w:val="32"/>
        </w:rPr>
        <w:t>%，占全部贷款</w:t>
      </w:r>
      <w:r w:rsidR="005A232F" w:rsidRPr="005A232F">
        <w:rPr>
          <w:rFonts w:ascii="仿宋_GB2312" w:eastAsia="仿宋_GB2312" w:hAnsi="宋体"/>
          <w:sz w:val="32"/>
          <w:szCs w:val="32"/>
        </w:rPr>
        <w:t>30.16</w:t>
      </w:r>
      <w:r w:rsidRPr="005A232F">
        <w:rPr>
          <w:rFonts w:ascii="仿宋_GB2312" w:eastAsia="仿宋_GB2312" w:hAnsi="宋体" w:hint="eastAsia"/>
          <w:sz w:val="32"/>
          <w:szCs w:val="32"/>
        </w:rPr>
        <w:t>%。坚持把发展绿色金融作为自身的长期战略和社会责任，高举</w:t>
      </w:r>
      <w:r>
        <w:rPr>
          <w:rFonts w:ascii="仿宋_GB2312" w:eastAsia="仿宋_GB2312" w:hAnsi="宋体" w:hint="eastAsia"/>
          <w:sz w:val="32"/>
          <w:szCs w:val="32"/>
        </w:rPr>
        <w:t>绿色金融发展旗帜，坚持服务“三农”，支持“小微”，普惠大众，以实际行动助推绿色金融，致力于服务地方绿色经济发展。</w:t>
      </w:r>
    </w:p>
    <w:p w:rsidR="00C13D7A" w:rsidRDefault="00933E15">
      <w:pPr>
        <w:pStyle w:val="a0"/>
        <w:numPr>
          <w:ilvl w:val="0"/>
          <w:numId w:val="0"/>
        </w:numPr>
        <w:spacing w:beforeLines="0" w:before="0" w:afterLines="0" w:after="0" w:line="580" w:lineRule="exact"/>
        <w:ind w:left="141" w:firstLineChars="100" w:firstLine="320"/>
        <w:jc w:val="both"/>
        <w:outlineLvl w:val="1"/>
        <w:rPr>
          <w:rFonts w:ascii="楷体" w:eastAsia="楷体" w:hAnsi="楷体"/>
          <w:b/>
          <w:sz w:val="32"/>
          <w:szCs w:val="32"/>
          <w:lang w:val="zh-TW" w:eastAsia="zh-TW"/>
        </w:rPr>
      </w:pPr>
      <w:bookmarkStart w:id="85" w:name="_Toc157583847"/>
      <w:r>
        <w:rPr>
          <w:rFonts w:ascii="楷体" w:eastAsia="楷体" w:hAnsi="楷体" w:hint="eastAsia"/>
          <w:sz w:val="32"/>
          <w:szCs w:val="32"/>
          <w:lang w:val="zh-TW" w:eastAsia="zh-TW"/>
        </w:rPr>
        <w:t>2.2.</w:t>
      </w:r>
      <w:r>
        <w:rPr>
          <w:rFonts w:ascii="楷体" w:eastAsia="PMingLiU" w:hAnsi="楷体"/>
          <w:sz w:val="32"/>
          <w:szCs w:val="32"/>
          <w:lang w:val="zh-TW" w:eastAsia="zh-TW"/>
        </w:rPr>
        <w:t>2</w:t>
      </w:r>
      <w:r>
        <w:rPr>
          <w:rFonts w:ascii="楷体" w:eastAsia="楷体" w:hAnsi="楷体" w:hint="eastAsia"/>
          <w:b/>
          <w:sz w:val="32"/>
          <w:szCs w:val="32"/>
          <w:lang w:val="zh-TW" w:eastAsia="zh-TW"/>
        </w:rPr>
        <w:t>绿色办公业务情况</w:t>
      </w:r>
      <w:bookmarkEnd w:id="85"/>
    </w:p>
    <w:p w:rsidR="00C13D7A" w:rsidRDefault="00933E15">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202</w:t>
      </w:r>
      <w:r w:rsidR="006416CF">
        <w:rPr>
          <w:rFonts w:ascii="仿宋_GB2312" w:eastAsia="仿宋_GB2312" w:hAnsi="宋体"/>
          <w:sz w:val="32"/>
          <w:szCs w:val="32"/>
        </w:rPr>
        <w:t>4</w:t>
      </w:r>
      <w:r>
        <w:rPr>
          <w:rFonts w:ascii="仿宋_GB2312" w:eastAsia="仿宋_GB2312" w:hAnsi="宋体" w:hint="eastAsia"/>
          <w:sz w:val="32"/>
          <w:szCs w:val="32"/>
        </w:rPr>
        <w:t>年，本行积极开展“碳中和”银行低碳办公实践，从“员工低碳办公常态化”、“低碳出行节能降耗”、“落实垃圾分类”、“推进减纸化办公”、“定期公布能耗数据”等方面开展绿色运营碳足迹管理。</w:t>
      </w:r>
    </w:p>
    <w:p w:rsidR="00C13D7A" w:rsidRDefault="00933E15">
      <w:pPr>
        <w:spacing w:line="580" w:lineRule="exact"/>
        <w:ind w:firstLineChars="200" w:firstLine="640"/>
        <w:rPr>
          <w:rFonts w:ascii="仿宋_GB2312" w:eastAsia="仿宋_GB2312" w:hAnsi="宋体"/>
          <w:sz w:val="32"/>
          <w:szCs w:val="32"/>
        </w:rPr>
      </w:pPr>
      <w:r w:rsidRPr="0072548F">
        <w:rPr>
          <w:rFonts w:ascii="仿宋_GB2312" w:eastAsia="仿宋_GB2312" w:hAnsi="宋体" w:hint="eastAsia"/>
          <w:sz w:val="32"/>
          <w:szCs w:val="32"/>
        </w:rPr>
        <w:t>截至</w:t>
      </w:r>
      <w:r w:rsidRPr="0072548F">
        <w:rPr>
          <w:rFonts w:ascii="仿宋_GB2312" w:eastAsia="仿宋_GB2312" w:hAnsi="宋体"/>
          <w:sz w:val="32"/>
          <w:szCs w:val="32"/>
        </w:rPr>
        <w:t>202</w:t>
      </w:r>
      <w:r w:rsidR="006416CF" w:rsidRPr="0072548F">
        <w:rPr>
          <w:rFonts w:ascii="仿宋_GB2312" w:eastAsia="仿宋_GB2312" w:hAnsi="宋体"/>
          <w:sz w:val="32"/>
          <w:szCs w:val="32"/>
        </w:rPr>
        <w:t>4</w:t>
      </w:r>
      <w:r w:rsidRPr="0072548F">
        <w:rPr>
          <w:rFonts w:ascii="仿宋_GB2312" w:eastAsia="仿宋_GB2312" w:hAnsi="宋体" w:hint="eastAsia"/>
          <w:sz w:val="32"/>
          <w:szCs w:val="32"/>
        </w:rPr>
        <w:t>年12月末，本行自有交通运输工具所消耗的燃油</w:t>
      </w:r>
      <w:r w:rsidR="0072548F" w:rsidRPr="0072548F">
        <w:rPr>
          <w:rFonts w:ascii="仿宋_GB2312" w:eastAsia="仿宋_GB2312" w:hAnsi="宋体"/>
          <w:sz w:val="32"/>
          <w:szCs w:val="32"/>
        </w:rPr>
        <w:t>10666</w:t>
      </w:r>
      <w:r w:rsidRPr="0072548F">
        <w:rPr>
          <w:rFonts w:ascii="仿宋_GB2312" w:eastAsia="仿宋_GB2312" w:hAnsi="宋体" w:hint="eastAsia"/>
          <w:sz w:val="32"/>
          <w:szCs w:val="32"/>
        </w:rPr>
        <w:t>升，人均</w:t>
      </w:r>
      <w:r w:rsidR="0072548F" w:rsidRPr="0072548F">
        <w:rPr>
          <w:rFonts w:ascii="仿宋_GB2312" w:eastAsia="仿宋_GB2312" w:hAnsi="宋体"/>
          <w:sz w:val="32"/>
          <w:szCs w:val="32"/>
        </w:rPr>
        <w:t>17.78</w:t>
      </w:r>
      <w:r w:rsidRPr="0072548F">
        <w:rPr>
          <w:rFonts w:ascii="仿宋_GB2312" w:eastAsia="仿宋_GB2312" w:hAnsi="宋体" w:hint="eastAsia"/>
          <w:sz w:val="32"/>
          <w:szCs w:val="32"/>
        </w:rPr>
        <w:t>升；营业、办公活动所消耗的纸张</w:t>
      </w:r>
      <w:r w:rsidR="0072548F" w:rsidRPr="0072548F">
        <w:rPr>
          <w:rFonts w:ascii="仿宋_GB2312" w:eastAsia="仿宋_GB2312" w:hAnsi="宋体"/>
          <w:sz w:val="32"/>
          <w:szCs w:val="32"/>
        </w:rPr>
        <w:t>6.62</w:t>
      </w:r>
      <w:r w:rsidRPr="0072548F">
        <w:rPr>
          <w:rFonts w:ascii="仿宋_GB2312" w:eastAsia="仿宋_GB2312" w:hAnsi="宋体" w:hint="eastAsia"/>
          <w:sz w:val="32"/>
          <w:szCs w:val="32"/>
        </w:rPr>
        <w:t>吨，人均</w:t>
      </w:r>
      <w:r w:rsidR="0072548F" w:rsidRPr="0072548F">
        <w:rPr>
          <w:rFonts w:ascii="仿宋_GB2312" w:eastAsia="仿宋_GB2312" w:hAnsi="宋体"/>
          <w:sz w:val="32"/>
          <w:szCs w:val="32"/>
        </w:rPr>
        <w:t>0.01</w:t>
      </w:r>
      <w:r w:rsidRPr="0072548F">
        <w:rPr>
          <w:rFonts w:ascii="仿宋_GB2312" w:eastAsia="仿宋_GB2312" w:hAnsi="宋体" w:hint="eastAsia"/>
          <w:sz w:val="32"/>
          <w:szCs w:val="32"/>
        </w:rPr>
        <w:t>吨；营业、办公活动所消耗的水</w:t>
      </w:r>
      <w:r w:rsidR="0072548F" w:rsidRPr="0072548F">
        <w:rPr>
          <w:rFonts w:ascii="仿宋_GB2312" w:eastAsia="仿宋_GB2312" w:hAnsi="宋体"/>
          <w:sz w:val="32"/>
          <w:szCs w:val="32"/>
        </w:rPr>
        <w:t>25738</w:t>
      </w:r>
      <w:r w:rsidRPr="0072548F">
        <w:rPr>
          <w:rFonts w:ascii="仿宋_GB2312" w:eastAsia="仿宋_GB2312" w:hAnsi="宋体" w:hint="eastAsia"/>
          <w:sz w:val="32"/>
          <w:szCs w:val="32"/>
        </w:rPr>
        <w:t>吨，人均</w:t>
      </w:r>
      <w:r w:rsidR="0072548F" w:rsidRPr="0072548F">
        <w:rPr>
          <w:rFonts w:ascii="仿宋_GB2312" w:eastAsia="仿宋_GB2312" w:hAnsi="宋体"/>
          <w:sz w:val="32"/>
          <w:szCs w:val="32"/>
        </w:rPr>
        <w:t>42.9</w:t>
      </w:r>
      <w:r w:rsidRPr="0072548F">
        <w:rPr>
          <w:rFonts w:ascii="仿宋_GB2312" w:eastAsia="仿宋_GB2312" w:hAnsi="宋体" w:hint="eastAsia"/>
          <w:sz w:val="32"/>
          <w:szCs w:val="32"/>
        </w:rPr>
        <w:t>吨；营业、办公活动所消耗的电力</w:t>
      </w:r>
      <w:r w:rsidR="0072548F" w:rsidRPr="0072548F">
        <w:rPr>
          <w:rFonts w:ascii="仿宋_GB2312" w:eastAsia="仿宋_GB2312" w:hAnsi="宋体"/>
          <w:sz w:val="32"/>
          <w:szCs w:val="32"/>
        </w:rPr>
        <w:t>3684690</w:t>
      </w:r>
      <w:r w:rsidRPr="0072548F">
        <w:rPr>
          <w:rFonts w:ascii="仿宋_GB2312" w:eastAsia="仿宋_GB2312" w:hAnsi="宋体" w:hint="eastAsia"/>
          <w:sz w:val="32"/>
          <w:szCs w:val="32"/>
        </w:rPr>
        <w:t>千瓦时，人均</w:t>
      </w:r>
      <w:r w:rsidR="0072548F" w:rsidRPr="0072548F">
        <w:rPr>
          <w:rFonts w:ascii="仿宋_GB2312" w:eastAsia="仿宋_GB2312" w:hAnsi="宋体"/>
          <w:sz w:val="32"/>
          <w:szCs w:val="32"/>
        </w:rPr>
        <w:t>6141.15</w:t>
      </w:r>
      <w:r w:rsidRPr="0072548F">
        <w:rPr>
          <w:rFonts w:ascii="仿宋_GB2312" w:eastAsia="仿宋_GB2312" w:hAnsi="宋体" w:hint="eastAsia"/>
          <w:sz w:val="32"/>
          <w:szCs w:val="32"/>
        </w:rPr>
        <w:t>千瓦时；</w:t>
      </w:r>
      <w:r w:rsidRPr="00544530">
        <w:rPr>
          <w:rFonts w:ascii="仿宋_GB2312" w:eastAsia="仿宋_GB2312" w:hAnsi="宋体" w:hint="eastAsia"/>
          <w:sz w:val="32"/>
          <w:szCs w:val="32"/>
        </w:rPr>
        <w:t>为提升员工及社会公众的环保意识所举办的培训活动或公益活动</w:t>
      </w:r>
      <w:r w:rsidRPr="00544530">
        <w:rPr>
          <w:rFonts w:ascii="仿宋_GB2312" w:eastAsia="仿宋_GB2312" w:hAnsi="宋体"/>
          <w:sz w:val="32"/>
          <w:szCs w:val="32"/>
        </w:rPr>
        <w:t>1</w:t>
      </w:r>
      <w:r w:rsidR="00544530" w:rsidRPr="00544530">
        <w:rPr>
          <w:rFonts w:ascii="仿宋_GB2312" w:eastAsia="仿宋_GB2312" w:hAnsi="宋体"/>
          <w:sz w:val="32"/>
          <w:szCs w:val="32"/>
        </w:rPr>
        <w:t>44</w:t>
      </w:r>
      <w:r w:rsidRPr="00544530">
        <w:rPr>
          <w:rFonts w:ascii="仿宋_GB2312" w:eastAsia="仿宋_GB2312" w:hAnsi="宋体"/>
          <w:sz w:val="32"/>
          <w:szCs w:val="32"/>
        </w:rPr>
        <w:t>00</w:t>
      </w:r>
      <w:r w:rsidRPr="00544530">
        <w:rPr>
          <w:rFonts w:ascii="仿宋_GB2312" w:eastAsia="仿宋_GB2312" w:hAnsi="宋体" w:hint="eastAsia"/>
          <w:sz w:val="32"/>
          <w:szCs w:val="32"/>
        </w:rPr>
        <w:t>人次，人均</w:t>
      </w:r>
      <w:r w:rsidR="00544530" w:rsidRPr="00544530">
        <w:rPr>
          <w:rFonts w:ascii="仿宋_GB2312" w:eastAsia="仿宋_GB2312" w:hAnsi="宋体"/>
          <w:sz w:val="32"/>
          <w:szCs w:val="32"/>
        </w:rPr>
        <w:t>24</w:t>
      </w:r>
      <w:r w:rsidRPr="00544530">
        <w:rPr>
          <w:rFonts w:ascii="仿宋_GB2312" w:eastAsia="仿宋_GB2312" w:hAnsi="宋体" w:hint="eastAsia"/>
          <w:sz w:val="32"/>
          <w:szCs w:val="32"/>
        </w:rPr>
        <w:t>人</w:t>
      </w:r>
      <w:r w:rsidRPr="00544530">
        <w:rPr>
          <w:rFonts w:ascii="仿宋_GB2312" w:eastAsia="仿宋_GB2312" w:hAnsi="宋体" w:hint="eastAsia"/>
          <w:sz w:val="32"/>
          <w:szCs w:val="32"/>
        </w:rPr>
        <w:lastRenderedPageBreak/>
        <w:t>次。</w:t>
      </w:r>
      <w:bookmarkEnd w:id="83"/>
      <w:bookmarkEnd w:id="84"/>
    </w:p>
    <w:p w:rsidR="00C13D7A" w:rsidRDefault="00933E15">
      <w:pPr>
        <w:pStyle w:val="a0"/>
        <w:spacing w:beforeLines="0" w:before="0" w:afterLines="0" w:after="0" w:line="580" w:lineRule="exact"/>
        <w:ind w:leftChars="67" w:left="141"/>
        <w:jc w:val="both"/>
        <w:outlineLvl w:val="1"/>
        <w:rPr>
          <w:rFonts w:ascii="楷体" w:eastAsia="楷体" w:hAnsi="楷体"/>
          <w:b/>
          <w:sz w:val="32"/>
          <w:szCs w:val="32"/>
          <w:lang w:val="zh-TW" w:eastAsia="zh-TW"/>
        </w:rPr>
      </w:pPr>
      <w:bookmarkStart w:id="86" w:name="_Toc157583848"/>
      <w:r>
        <w:rPr>
          <w:rFonts w:ascii="楷体" w:eastAsia="楷体" w:hAnsi="楷体" w:hint="eastAsia"/>
          <w:b/>
          <w:sz w:val="32"/>
          <w:szCs w:val="32"/>
          <w:lang w:val="zh-TW" w:eastAsia="zh-TW"/>
        </w:rPr>
        <w:t>规划与目标</w:t>
      </w:r>
      <w:bookmarkEnd w:id="86"/>
    </w:p>
    <w:p w:rsidR="00C13D7A" w:rsidRDefault="00933E15">
      <w:pPr>
        <w:pStyle w:val="a0"/>
        <w:numPr>
          <w:ilvl w:val="0"/>
          <w:numId w:val="0"/>
        </w:numPr>
        <w:spacing w:beforeLines="0" w:before="0" w:afterLines="0" w:after="0" w:line="580" w:lineRule="exact"/>
        <w:ind w:left="141" w:firstLineChars="100" w:firstLine="320"/>
        <w:jc w:val="both"/>
        <w:outlineLvl w:val="1"/>
        <w:rPr>
          <w:rFonts w:ascii="楷体" w:eastAsia="楷体" w:hAnsi="楷体"/>
          <w:b/>
          <w:sz w:val="32"/>
          <w:szCs w:val="32"/>
          <w:lang w:val="zh-TW" w:eastAsia="zh-TW"/>
        </w:rPr>
      </w:pPr>
      <w:bookmarkStart w:id="87" w:name="_Toc157583849"/>
      <w:r>
        <w:rPr>
          <w:rFonts w:ascii="楷体" w:eastAsia="楷体" w:hAnsi="楷体" w:hint="eastAsia"/>
          <w:sz w:val="32"/>
          <w:szCs w:val="32"/>
          <w:lang w:val="zh-TW" w:eastAsia="zh-TW"/>
        </w:rPr>
        <w:t>2.</w:t>
      </w:r>
      <w:r>
        <w:rPr>
          <w:rFonts w:ascii="楷体" w:eastAsia="楷体" w:hAnsi="楷体"/>
          <w:sz w:val="32"/>
          <w:szCs w:val="32"/>
          <w:lang w:val="zh-TW" w:eastAsia="zh-TW"/>
        </w:rPr>
        <w:t>3.1</w:t>
      </w:r>
      <w:r>
        <w:rPr>
          <w:rFonts w:ascii="楷体" w:eastAsia="楷体" w:hAnsi="楷体" w:hint="eastAsia"/>
          <w:b/>
          <w:sz w:val="32"/>
          <w:szCs w:val="32"/>
          <w:lang w:val="zh-TW" w:eastAsia="zh-TW"/>
        </w:rPr>
        <w:t>加大绿色信贷投放力度</w:t>
      </w:r>
      <w:bookmarkEnd w:id="87"/>
    </w:p>
    <w:p w:rsidR="00C13D7A" w:rsidRDefault="00933E15">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一是明确绿色信贷目标。本行将持续加大绿色信贷投放力度，增幅高于各项贷款增幅，增速高于全市平均水平。二是加强绿色金融考核与服务。科学下达绿色信贷业绩考核指标，发挥考核指挥棒作用，同时积极主动下沉支行指导服务，推动绿色信贷投放。三是</w:t>
      </w:r>
      <w:proofErr w:type="gramStart"/>
      <w:r>
        <w:rPr>
          <w:rFonts w:ascii="仿宋_GB2312" w:eastAsia="仿宋_GB2312" w:hAnsi="宋体" w:hint="eastAsia"/>
          <w:sz w:val="32"/>
          <w:szCs w:val="32"/>
        </w:rPr>
        <w:t>深化银政合作</w:t>
      </w:r>
      <w:proofErr w:type="gramEnd"/>
      <w:r>
        <w:rPr>
          <w:rFonts w:ascii="仿宋_GB2312" w:eastAsia="仿宋_GB2312" w:hAnsi="宋体" w:hint="eastAsia"/>
          <w:sz w:val="32"/>
          <w:szCs w:val="32"/>
        </w:rPr>
        <w:t>。全面</w:t>
      </w:r>
      <w:proofErr w:type="gramStart"/>
      <w:r>
        <w:rPr>
          <w:rFonts w:ascii="仿宋_GB2312" w:eastAsia="仿宋_GB2312" w:hAnsi="宋体" w:hint="eastAsia"/>
          <w:sz w:val="32"/>
          <w:szCs w:val="32"/>
        </w:rPr>
        <w:t>展开银政合作</w:t>
      </w:r>
      <w:proofErr w:type="gramEnd"/>
      <w:r>
        <w:rPr>
          <w:rFonts w:ascii="仿宋_GB2312" w:eastAsia="仿宋_GB2312" w:hAnsi="宋体" w:hint="eastAsia"/>
          <w:sz w:val="32"/>
          <w:szCs w:val="32"/>
        </w:rPr>
        <w:t>，打通信息壁垒，积极获取相关清单，多渠道了解掌握绿色主体，将信贷资金投向绿色金融领域。四是培育绿色金融人才。重视绿色金融人才队伍建设和培育，进一步提升部门绿色金融岗的专业能力，开发绿色金融培训课程，加强培训与考试，增强支行营销人员绿色信贷识别及业务拓展能力。</w:t>
      </w:r>
    </w:p>
    <w:p w:rsidR="00C13D7A" w:rsidRDefault="00933E15">
      <w:pPr>
        <w:pStyle w:val="a0"/>
        <w:numPr>
          <w:ilvl w:val="0"/>
          <w:numId w:val="0"/>
        </w:numPr>
        <w:spacing w:beforeLines="0" w:before="0" w:afterLines="0" w:after="0" w:line="580" w:lineRule="exact"/>
        <w:ind w:left="141" w:firstLineChars="100" w:firstLine="320"/>
        <w:jc w:val="both"/>
        <w:outlineLvl w:val="1"/>
        <w:rPr>
          <w:rFonts w:ascii="楷体" w:eastAsia="楷体" w:hAnsi="楷体"/>
          <w:b/>
          <w:sz w:val="32"/>
          <w:szCs w:val="32"/>
          <w:lang w:val="zh-TW" w:eastAsia="zh-TW"/>
        </w:rPr>
      </w:pPr>
      <w:bookmarkStart w:id="88" w:name="_Toc157583850"/>
      <w:r>
        <w:rPr>
          <w:rFonts w:ascii="楷体" w:eastAsia="楷体" w:hAnsi="楷体" w:hint="eastAsia"/>
          <w:sz w:val="32"/>
          <w:szCs w:val="32"/>
          <w:lang w:val="zh-TW" w:eastAsia="zh-TW"/>
        </w:rPr>
        <w:t>2</w:t>
      </w:r>
      <w:r>
        <w:rPr>
          <w:rFonts w:ascii="楷体" w:eastAsia="楷体" w:hAnsi="楷体"/>
          <w:sz w:val="32"/>
          <w:szCs w:val="32"/>
          <w:lang w:val="zh-TW" w:eastAsia="zh-TW"/>
        </w:rPr>
        <w:t>.3.2</w:t>
      </w:r>
      <w:r>
        <w:rPr>
          <w:rFonts w:ascii="楷体" w:eastAsia="楷体" w:hAnsi="楷体" w:hint="eastAsia"/>
          <w:b/>
          <w:sz w:val="32"/>
          <w:szCs w:val="32"/>
          <w:lang w:val="zh-TW" w:eastAsia="zh-TW"/>
        </w:rPr>
        <w:t>挖掘转型金融发展深度</w:t>
      </w:r>
      <w:bookmarkEnd w:id="88"/>
    </w:p>
    <w:p w:rsidR="00C13D7A" w:rsidRDefault="00933E15">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一是优化转型金融体系。梳理本行转型金融制度不足，同时健全在信贷准入、授信审批、利率定价等方面转型金融的优惠政策。构建“碳账户”应用至转型金融服务体系，为碳密集行业低碳转型开辟融资新通道。二是创新转型金融产品。</w:t>
      </w:r>
      <w:proofErr w:type="gramStart"/>
      <w:r>
        <w:rPr>
          <w:rFonts w:ascii="仿宋_GB2312" w:eastAsia="仿宋_GB2312" w:hAnsi="宋体" w:hint="eastAsia"/>
          <w:sz w:val="32"/>
          <w:szCs w:val="32"/>
        </w:rPr>
        <w:t>政银合作</w:t>
      </w:r>
      <w:proofErr w:type="gramEnd"/>
      <w:r>
        <w:rPr>
          <w:rFonts w:ascii="仿宋_GB2312" w:eastAsia="仿宋_GB2312" w:hAnsi="宋体" w:hint="eastAsia"/>
          <w:sz w:val="32"/>
          <w:szCs w:val="32"/>
        </w:rPr>
        <w:t>宣传“绿色工厂贷”、“绿色碳效贷”产品，扩大转型金融产品影响力。积极探索金融支持碳密集行业低碳转型的新产品、新模式，再深挖转型金融发展新需求。三是协助企业制定转型方案。积极响应监管部门号召，密切关注相关行业转型意向，根据监管要求协助有转型意向的企业制定转型方案，并配套专项绿色转型融资服务，争取建立德</w:t>
      </w:r>
      <w:r>
        <w:rPr>
          <w:rFonts w:ascii="仿宋_GB2312" w:eastAsia="仿宋_GB2312" w:hAnsi="宋体" w:hint="eastAsia"/>
          <w:sz w:val="32"/>
          <w:szCs w:val="32"/>
        </w:rPr>
        <w:lastRenderedPageBreak/>
        <w:t>清典型，走出可复制的、可持续的、高效的金融支持低碳转型之路。</w:t>
      </w:r>
    </w:p>
    <w:p w:rsidR="00C13D7A" w:rsidRDefault="00933E15">
      <w:pPr>
        <w:pStyle w:val="a0"/>
        <w:numPr>
          <w:ilvl w:val="0"/>
          <w:numId w:val="0"/>
        </w:numPr>
        <w:spacing w:beforeLines="0" w:before="0" w:afterLines="0" w:after="0" w:line="580" w:lineRule="exact"/>
        <w:ind w:left="141" w:firstLineChars="100" w:firstLine="320"/>
        <w:jc w:val="both"/>
        <w:outlineLvl w:val="1"/>
        <w:rPr>
          <w:rFonts w:ascii="楷体" w:eastAsia="楷体" w:hAnsi="楷体"/>
          <w:b/>
          <w:sz w:val="32"/>
          <w:szCs w:val="32"/>
          <w:lang w:val="zh-TW" w:eastAsia="zh-TW"/>
        </w:rPr>
      </w:pPr>
      <w:bookmarkStart w:id="89" w:name="_Toc157583851"/>
      <w:r>
        <w:rPr>
          <w:rFonts w:ascii="楷体" w:eastAsia="楷体" w:hAnsi="楷体" w:hint="eastAsia"/>
          <w:sz w:val="32"/>
          <w:szCs w:val="32"/>
          <w:lang w:val="zh-TW" w:eastAsia="zh-TW"/>
        </w:rPr>
        <w:t>2</w:t>
      </w:r>
      <w:r>
        <w:rPr>
          <w:rFonts w:ascii="楷体" w:eastAsia="楷体" w:hAnsi="楷体"/>
          <w:sz w:val="32"/>
          <w:szCs w:val="32"/>
          <w:lang w:val="zh-TW" w:eastAsia="zh-TW"/>
        </w:rPr>
        <w:t>.3.3</w:t>
      </w:r>
      <w:r>
        <w:rPr>
          <w:rFonts w:ascii="楷体" w:eastAsia="楷体" w:hAnsi="楷体" w:hint="eastAsia"/>
          <w:b/>
          <w:sz w:val="32"/>
          <w:szCs w:val="32"/>
          <w:lang w:val="zh-TW" w:eastAsia="zh-TW"/>
        </w:rPr>
        <w:t>创新绿色金融服务模式</w:t>
      </w:r>
      <w:bookmarkEnd w:id="89"/>
    </w:p>
    <w:p w:rsidR="00C13D7A" w:rsidRDefault="00933E15">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一是打造绿色智慧平台2.0版本。1.0版本侧重基于低碳评价的基础上出台相关优惠政策引导产业低碳转型，如农业领域实现粮食产量发生大幅增加等，促进产业结构优化升级；2.0版本主要引导产业安全生产，如农业领域实现粮食安全生产，农业产品有机生产等，从量变引起质变。二是实现各主管部门信息共享。将农业领域和民宿领域的</w:t>
      </w:r>
      <w:proofErr w:type="gramStart"/>
      <w:r>
        <w:rPr>
          <w:rFonts w:ascii="仿宋_GB2312" w:eastAsia="仿宋_GB2312" w:hAnsi="宋体" w:hint="eastAsia"/>
          <w:sz w:val="32"/>
          <w:szCs w:val="32"/>
        </w:rPr>
        <w:t>碳方法</w:t>
      </w:r>
      <w:proofErr w:type="gramEnd"/>
      <w:r>
        <w:rPr>
          <w:rFonts w:ascii="仿宋_GB2312" w:eastAsia="仿宋_GB2312" w:hAnsi="宋体" w:hint="eastAsia"/>
          <w:sz w:val="32"/>
          <w:szCs w:val="32"/>
        </w:rPr>
        <w:t>学与农业农村局、文管体育局、民宿协会等部门进行共享，基于碳排放量科学计算，助力主管部门对高排放企业实施减排措施指导，对低排放企业进行补贴。同时，配套绿色大额存单、绿色信贷产品等侧面鼓励高碳企业低碳减排。三是打响星级低碳民宿品牌。依托</w:t>
      </w:r>
      <w:proofErr w:type="gramStart"/>
      <w:r>
        <w:rPr>
          <w:rFonts w:ascii="仿宋_GB2312" w:eastAsia="仿宋_GB2312" w:hAnsi="宋体" w:hint="eastAsia"/>
          <w:sz w:val="32"/>
          <w:szCs w:val="32"/>
        </w:rPr>
        <w:t>民宿业碳核算</w:t>
      </w:r>
      <w:proofErr w:type="gramEnd"/>
      <w:r>
        <w:rPr>
          <w:rFonts w:ascii="仿宋_GB2312" w:eastAsia="仿宋_GB2312" w:hAnsi="宋体" w:hint="eastAsia"/>
          <w:sz w:val="32"/>
          <w:szCs w:val="32"/>
        </w:rPr>
        <w:t>方法学和低碳民宿星级评价体系，探索星级低碳民宿品牌，金融差异</w:t>
      </w:r>
      <w:proofErr w:type="gramStart"/>
      <w:r>
        <w:rPr>
          <w:rFonts w:ascii="仿宋_GB2312" w:eastAsia="仿宋_GB2312" w:hAnsi="宋体" w:hint="eastAsia"/>
          <w:sz w:val="32"/>
          <w:szCs w:val="32"/>
        </w:rPr>
        <w:t>化支持</w:t>
      </w:r>
      <w:proofErr w:type="gramEnd"/>
      <w:r>
        <w:rPr>
          <w:rFonts w:ascii="仿宋_GB2312" w:eastAsia="仿宋_GB2312" w:hAnsi="宋体" w:hint="eastAsia"/>
          <w:sz w:val="32"/>
          <w:szCs w:val="32"/>
        </w:rPr>
        <w:t>不同星级等级民宿，助力德清民宿发展成为绿色民宿行业标杆。四是纳入提高ESG表现措施。深化</w:t>
      </w:r>
      <w:proofErr w:type="gramStart"/>
      <w:r>
        <w:rPr>
          <w:rFonts w:ascii="仿宋_GB2312" w:eastAsia="仿宋_GB2312" w:hAnsi="宋体" w:hint="eastAsia"/>
          <w:sz w:val="32"/>
          <w:szCs w:val="32"/>
        </w:rPr>
        <w:t>碳方法</w:t>
      </w:r>
      <w:proofErr w:type="gramEnd"/>
      <w:r>
        <w:rPr>
          <w:rFonts w:ascii="仿宋_GB2312" w:eastAsia="仿宋_GB2312" w:hAnsi="宋体" w:hint="eastAsia"/>
          <w:sz w:val="32"/>
          <w:szCs w:val="32"/>
        </w:rPr>
        <w:t>学研究，为企业制定减排措施提供理论依据，强调“绿色”作为环境管理的主旋律，引导企业重点培育低碳技术，丰富ESG</w:t>
      </w:r>
      <w:proofErr w:type="gramStart"/>
      <w:r>
        <w:rPr>
          <w:rFonts w:ascii="仿宋_GB2312" w:eastAsia="仿宋_GB2312" w:hAnsi="宋体" w:hint="eastAsia"/>
          <w:sz w:val="32"/>
          <w:szCs w:val="32"/>
        </w:rPr>
        <w:t>碳信息</w:t>
      </w:r>
      <w:proofErr w:type="gramEnd"/>
      <w:r>
        <w:rPr>
          <w:rFonts w:ascii="仿宋_GB2312" w:eastAsia="仿宋_GB2312" w:hAnsi="宋体" w:hint="eastAsia"/>
          <w:sz w:val="32"/>
          <w:szCs w:val="32"/>
        </w:rPr>
        <w:t>披露内容，做好碳排放信息披露以及用好本行金融工具助力企业低碳转型。</w:t>
      </w:r>
    </w:p>
    <w:p w:rsidR="00C13D7A" w:rsidRDefault="00933E15">
      <w:pPr>
        <w:pStyle w:val="a0"/>
        <w:numPr>
          <w:ilvl w:val="0"/>
          <w:numId w:val="0"/>
        </w:numPr>
        <w:spacing w:beforeLines="0" w:before="0" w:afterLines="0" w:after="0" w:line="580" w:lineRule="exact"/>
        <w:ind w:left="141" w:firstLineChars="100" w:firstLine="320"/>
        <w:jc w:val="both"/>
        <w:outlineLvl w:val="1"/>
        <w:rPr>
          <w:rFonts w:ascii="楷体" w:eastAsia="楷体" w:hAnsi="楷体"/>
          <w:b/>
          <w:sz w:val="32"/>
          <w:szCs w:val="32"/>
          <w:lang w:val="zh-TW" w:eastAsia="zh-TW"/>
        </w:rPr>
      </w:pPr>
      <w:bookmarkStart w:id="90" w:name="_Toc157583852"/>
      <w:r>
        <w:rPr>
          <w:rFonts w:ascii="楷体" w:eastAsia="楷体" w:hAnsi="楷体" w:hint="eastAsia"/>
          <w:sz w:val="32"/>
          <w:szCs w:val="32"/>
          <w:lang w:val="zh-TW" w:eastAsia="zh-TW"/>
        </w:rPr>
        <w:t>2</w:t>
      </w:r>
      <w:r>
        <w:rPr>
          <w:rFonts w:ascii="楷体" w:eastAsia="楷体" w:hAnsi="楷体"/>
          <w:sz w:val="32"/>
          <w:szCs w:val="32"/>
          <w:lang w:val="zh-TW" w:eastAsia="zh-TW"/>
        </w:rPr>
        <w:t>.3.4</w:t>
      </w:r>
      <w:r>
        <w:rPr>
          <w:rFonts w:ascii="楷体" w:eastAsia="楷体" w:hAnsi="楷体" w:hint="eastAsia"/>
          <w:b/>
          <w:sz w:val="32"/>
          <w:szCs w:val="32"/>
          <w:lang w:val="zh-TW" w:eastAsia="zh-TW"/>
        </w:rPr>
        <w:t>提升绿色普惠品牌效应</w:t>
      </w:r>
      <w:bookmarkEnd w:id="90"/>
    </w:p>
    <w:p w:rsidR="00C13D7A" w:rsidRDefault="00933E15">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一是营造绿色生活氛围。进一步推动个人碳账户积分体系运用，形成绿色行为轨迹，拓展“绿币”及“益币”应用</w:t>
      </w:r>
      <w:r>
        <w:rPr>
          <w:rFonts w:ascii="仿宋_GB2312" w:eastAsia="仿宋_GB2312" w:hAnsi="宋体" w:hint="eastAsia"/>
          <w:sz w:val="32"/>
          <w:szCs w:val="32"/>
        </w:rPr>
        <w:lastRenderedPageBreak/>
        <w:t>场景，扩大“绿币公益贷”服务范围。二是支持绿色低碳民宿发展。在民宿</w:t>
      </w:r>
      <w:proofErr w:type="gramStart"/>
      <w:r>
        <w:rPr>
          <w:rFonts w:ascii="仿宋_GB2312" w:eastAsia="仿宋_GB2312" w:hAnsi="宋体" w:hint="eastAsia"/>
          <w:sz w:val="32"/>
          <w:szCs w:val="32"/>
        </w:rPr>
        <w:t>碳方法</w:t>
      </w:r>
      <w:proofErr w:type="gramEnd"/>
      <w:r>
        <w:rPr>
          <w:rFonts w:ascii="仿宋_GB2312" w:eastAsia="仿宋_GB2312" w:hAnsi="宋体" w:hint="eastAsia"/>
          <w:sz w:val="32"/>
          <w:szCs w:val="32"/>
        </w:rPr>
        <w:t>学的支撑下，升级“民宿贷”系列产品，并设立专项资金用于支持民宿建设和重点民宿产业发展，深度服务绿色民宿产业发展，打造绿色消费品牌。三是助推绿色低碳农业发展。加强与农业农村局、供销社等合作，全面深化“三位一体”改革。发挥农合联理事单位作用，加大“两山”系列贷款和“新型农业”特色贷款推广力度，助力“三农”领域节能减排，推动绿色农业发展。四是深化绿色园区合作。加强与科技局、高新区、园区运营方开展合作，创新业务产品，结合园区特色开展“绿色园区贷”、“绿色租金贷”“绿色工厂贷”等小微绿色产品。五是加大ESG评价在普惠领域的应用。将ESG评价与普惠金融产品的融合，将ESG 评价结果纳入授信决策、贷款审批、资金价格、风险管理、内部控制和资产组合等方面，建立小</w:t>
      </w:r>
      <w:proofErr w:type="gramStart"/>
      <w:r>
        <w:rPr>
          <w:rFonts w:ascii="仿宋_GB2312" w:eastAsia="仿宋_GB2312" w:hAnsi="宋体" w:hint="eastAsia"/>
          <w:sz w:val="32"/>
          <w:szCs w:val="32"/>
        </w:rPr>
        <w:t>微企业碳</w:t>
      </w:r>
      <w:proofErr w:type="gramEnd"/>
      <w:r>
        <w:rPr>
          <w:rFonts w:ascii="仿宋_GB2312" w:eastAsia="仿宋_GB2312" w:hAnsi="宋体" w:hint="eastAsia"/>
          <w:sz w:val="32"/>
          <w:szCs w:val="32"/>
        </w:rPr>
        <w:t>画像。</w:t>
      </w:r>
    </w:p>
    <w:p w:rsidR="00C13D7A" w:rsidRDefault="00933E15">
      <w:pPr>
        <w:pStyle w:val="a0"/>
        <w:numPr>
          <w:ilvl w:val="0"/>
          <w:numId w:val="0"/>
        </w:numPr>
        <w:spacing w:beforeLines="0" w:before="0" w:afterLines="0" w:after="0" w:line="580" w:lineRule="exact"/>
        <w:ind w:left="141" w:firstLineChars="100" w:firstLine="320"/>
        <w:jc w:val="both"/>
        <w:outlineLvl w:val="1"/>
        <w:rPr>
          <w:rFonts w:ascii="楷体" w:eastAsia="楷体" w:hAnsi="楷体"/>
          <w:b/>
          <w:sz w:val="32"/>
          <w:szCs w:val="32"/>
          <w:lang w:val="zh-TW" w:eastAsia="zh-TW"/>
        </w:rPr>
      </w:pPr>
      <w:bookmarkStart w:id="91" w:name="_Toc157583853"/>
      <w:r>
        <w:rPr>
          <w:rFonts w:ascii="楷体" w:eastAsia="楷体" w:hAnsi="楷体" w:hint="eastAsia"/>
          <w:sz w:val="32"/>
          <w:szCs w:val="32"/>
          <w:lang w:val="zh-TW" w:eastAsia="zh-TW"/>
        </w:rPr>
        <w:t>2</w:t>
      </w:r>
      <w:r>
        <w:rPr>
          <w:rFonts w:ascii="楷体" w:eastAsia="楷体" w:hAnsi="楷体"/>
          <w:sz w:val="32"/>
          <w:szCs w:val="32"/>
          <w:lang w:val="zh-TW" w:eastAsia="zh-TW"/>
        </w:rPr>
        <w:t>.3.5</w:t>
      </w:r>
      <w:r>
        <w:rPr>
          <w:rFonts w:ascii="楷体" w:eastAsia="楷体" w:hAnsi="楷体" w:hint="eastAsia"/>
          <w:b/>
          <w:sz w:val="32"/>
          <w:szCs w:val="32"/>
          <w:lang w:val="zh-TW" w:eastAsia="zh-TW"/>
        </w:rPr>
        <w:t>进一步打造碳中和银行</w:t>
      </w:r>
      <w:bookmarkEnd w:id="91"/>
    </w:p>
    <w:p w:rsidR="00C13D7A" w:rsidRDefault="00933E15">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一是持续发展分布式光伏发电项目。扩大安装屋顶光</w:t>
      </w:r>
      <w:proofErr w:type="gramStart"/>
      <w:r>
        <w:rPr>
          <w:rFonts w:ascii="仿宋_GB2312" w:eastAsia="仿宋_GB2312" w:hAnsi="宋体" w:hint="eastAsia"/>
          <w:sz w:val="32"/>
          <w:szCs w:val="32"/>
        </w:rPr>
        <w:t>伏设备</w:t>
      </w:r>
      <w:proofErr w:type="gramEnd"/>
      <w:r>
        <w:rPr>
          <w:rFonts w:ascii="仿宋_GB2312" w:eastAsia="仿宋_GB2312" w:hAnsi="宋体" w:hint="eastAsia"/>
          <w:sz w:val="32"/>
          <w:szCs w:val="32"/>
        </w:rPr>
        <w:t>范围至总行及其他支行。通过对相关屋顶资源普查，总行屋顶可用面积约为400平方米左右，各支行、营业部可利用屋顶面积1530平方米左右，总计1930平方米。预计到2030年前安装完成分布式光伏发电设施装机共计193kW，年均减少二氧化碳排放108.08吨至127.38吨，约占每年碳排放总量的3%左右。二是关注员工绿色出行和绿色办公模式。倡导员工绿色出行，增强绿色出行意识，支持绿色出行举措，不断完善绿色办公管理制度，加强绿色管理，提升办公效率，</w:t>
      </w:r>
      <w:r>
        <w:rPr>
          <w:rFonts w:ascii="仿宋_GB2312" w:eastAsia="仿宋_GB2312" w:hAnsi="宋体" w:hint="eastAsia"/>
          <w:sz w:val="32"/>
          <w:szCs w:val="32"/>
        </w:rPr>
        <w:lastRenderedPageBreak/>
        <w:t>积极倡导和营造良好的绿色办公环境。以2020年为基准年，预计本行在2025年员工绿色出行比例将提高35%，到2030年达到60%以上。力争在2025年达到人均电耗比2020年降低7%，2030年降低14%的目标。三是积极发展绿色建筑。本行将进一步对既有建筑的低碳改造以及将新建筑建设为低碳建筑，不仅能提升建筑本身的经济价值、降低气候变化转型风险，提高在可持续发展发面的品牌形象，还能起到试点示范作用，助力绿色网点建设。预计在2030年前将实现本行部门绿色建筑改造，</w:t>
      </w:r>
      <w:proofErr w:type="gramStart"/>
      <w:r>
        <w:rPr>
          <w:rFonts w:ascii="仿宋_GB2312" w:eastAsia="仿宋_GB2312" w:hAnsi="宋体" w:hint="eastAsia"/>
          <w:sz w:val="32"/>
          <w:szCs w:val="32"/>
        </w:rPr>
        <w:t>打造四</w:t>
      </w:r>
      <w:proofErr w:type="gramEnd"/>
      <w:r>
        <w:rPr>
          <w:rFonts w:ascii="仿宋_GB2312" w:eastAsia="仿宋_GB2312" w:hAnsi="宋体" w:hint="eastAsia"/>
          <w:sz w:val="32"/>
          <w:szCs w:val="32"/>
        </w:rPr>
        <w:t>星级绿色网点。</w:t>
      </w:r>
    </w:p>
    <w:p w:rsidR="00C13D7A" w:rsidRDefault="00933E15">
      <w:pPr>
        <w:pStyle w:val="a0"/>
        <w:numPr>
          <w:ilvl w:val="0"/>
          <w:numId w:val="0"/>
        </w:numPr>
        <w:spacing w:beforeLines="0" w:before="0" w:afterLines="0" w:after="0" w:line="580" w:lineRule="exact"/>
        <w:ind w:left="141" w:firstLineChars="100" w:firstLine="320"/>
        <w:jc w:val="both"/>
        <w:outlineLvl w:val="1"/>
        <w:rPr>
          <w:rFonts w:ascii="楷体" w:eastAsia="楷体" w:hAnsi="楷体"/>
          <w:b/>
          <w:sz w:val="32"/>
          <w:szCs w:val="32"/>
          <w:lang w:val="zh-TW" w:eastAsia="zh-TW"/>
        </w:rPr>
      </w:pPr>
      <w:bookmarkStart w:id="92" w:name="_Toc157583854"/>
      <w:r>
        <w:rPr>
          <w:rFonts w:ascii="楷体" w:eastAsia="楷体" w:hAnsi="楷体" w:hint="eastAsia"/>
          <w:sz w:val="32"/>
          <w:szCs w:val="32"/>
          <w:lang w:val="zh-TW" w:eastAsia="zh-TW"/>
        </w:rPr>
        <w:t>2</w:t>
      </w:r>
      <w:r>
        <w:rPr>
          <w:rFonts w:ascii="楷体" w:eastAsia="楷体" w:hAnsi="楷体"/>
          <w:sz w:val="32"/>
          <w:szCs w:val="32"/>
          <w:lang w:val="zh-TW" w:eastAsia="zh-TW"/>
        </w:rPr>
        <w:t>.3.6</w:t>
      </w:r>
      <w:r>
        <w:rPr>
          <w:rFonts w:ascii="楷体" w:eastAsia="楷体" w:hAnsi="楷体" w:hint="eastAsia"/>
          <w:b/>
          <w:sz w:val="32"/>
          <w:szCs w:val="32"/>
          <w:lang w:val="zh-TW" w:eastAsia="zh-TW"/>
        </w:rPr>
        <w:t>完善绿色金融体系总结</w:t>
      </w:r>
      <w:bookmarkEnd w:id="92"/>
    </w:p>
    <w:p w:rsidR="00C13D7A" w:rsidRDefault="00933E15">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一是做好信息宣传总结。及时向上级领导部门上报创新案例，积极参与全市绿色金融改革年度创新案例评选和全市绿色低碳金融产品与服务创新竞赛等上级领导部门组织的比赛，举全行之力争取获奖。加强绿色金融创新经验和典型做法的宣传，力争绿色金融信息被省市党委和政府主要领导及分管领导和市管理部批示。二是重视上级监管考核。对上级监管部门的考核内容进行进一步梳理和总结，对绿色金融体系进一步完善，突出重点与亮点，及时总结好的经验做法与成效，将绿色品牌与绿色金融工作相结合，打造德清农商银行绿色品牌。</w:t>
      </w:r>
    </w:p>
    <w:p w:rsidR="00C13D7A" w:rsidRDefault="00933E15">
      <w:pPr>
        <w:pStyle w:val="a"/>
        <w:tabs>
          <w:tab w:val="left" w:pos="720"/>
        </w:tabs>
        <w:spacing w:beforeLines="0" w:before="0" w:afterLines="0" w:after="0" w:line="580" w:lineRule="exact"/>
        <w:outlineLvl w:val="0"/>
        <w:rPr>
          <w:rFonts w:hAnsi="黑体"/>
          <w:b/>
          <w:sz w:val="32"/>
          <w:szCs w:val="32"/>
        </w:rPr>
      </w:pPr>
      <w:bookmarkStart w:id="93" w:name="_Toc23339686"/>
      <w:bookmarkStart w:id="94" w:name="_Toc23339948"/>
      <w:bookmarkStart w:id="95" w:name="_Toc38615360"/>
      <w:bookmarkStart w:id="96" w:name="_Toc157583855"/>
      <w:bookmarkStart w:id="97" w:name="_Toc38615323"/>
      <w:bookmarkStart w:id="98" w:name="_Toc38615468"/>
      <w:r>
        <w:rPr>
          <w:rFonts w:hAnsi="黑体" w:hint="eastAsia"/>
          <w:b/>
          <w:sz w:val="32"/>
          <w:szCs w:val="32"/>
        </w:rPr>
        <w:t>环境相关治理结构</w:t>
      </w:r>
      <w:bookmarkEnd w:id="93"/>
      <w:bookmarkEnd w:id="94"/>
      <w:bookmarkEnd w:id="95"/>
      <w:bookmarkEnd w:id="96"/>
      <w:bookmarkEnd w:id="97"/>
      <w:bookmarkEnd w:id="98"/>
      <w:r>
        <w:rPr>
          <w:rFonts w:hAnsi="黑体" w:hint="eastAsia"/>
          <w:b/>
          <w:sz w:val="32"/>
          <w:szCs w:val="32"/>
        </w:rPr>
        <w:t xml:space="preserve"> </w:t>
      </w:r>
    </w:p>
    <w:p w:rsidR="00C13D7A" w:rsidRDefault="00933E15">
      <w:pPr>
        <w:pStyle w:val="a0"/>
        <w:spacing w:beforeLines="0" w:before="0" w:afterLines="0" w:after="0" w:line="580" w:lineRule="exact"/>
        <w:ind w:leftChars="67" w:left="141"/>
        <w:jc w:val="both"/>
        <w:outlineLvl w:val="1"/>
        <w:rPr>
          <w:rFonts w:ascii="楷体" w:eastAsia="楷体" w:hAnsi="楷体"/>
          <w:b/>
          <w:sz w:val="32"/>
          <w:szCs w:val="32"/>
          <w:lang w:val="zh-TW" w:eastAsia="zh-TW"/>
        </w:rPr>
      </w:pPr>
      <w:bookmarkStart w:id="99" w:name="_Toc157583856"/>
      <w:r>
        <w:rPr>
          <w:rFonts w:ascii="楷体" w:eastAsia="楷体" w:hAnsi="楷体" w:hint="eastAsia"/>
          <w:b/>
          <w:sz w:val="32"/>
          <w:szCs w:val="32"/>
          <w:lang w:val="zh-TW" w:eastAsia="zh-TW"/>
        </w:rPr>
        <w:t>董事会层面环境方面的职责设置</w:t>
      </w:r>
      <w:bookmarkEnd w:id="99"/>
    </w:p>
    <w:p w:rsidR="00C13D7A" w:rsidRDefault="00933E15">
      <w:pPr>
        <w:pStyle w:val="af5"/>
        <w:spacing w:line="580" w:lineRule="exact"/>
        <w:ind w:firstLine="640"/>
        <w:rPr>
          <w:rFonts w:ascii="仿宋_GB2312" w:eastAsia="仿宋_GB2312" w:hAnsi="宋体"/>
          <w:sz w:val="32"/>
          <w:szCs w:val="32"/>
        </w:rPr>
      </w:pPr>
      <w:r>
        <w:rPr>
          <w:rFonts w:ascii="仿宋_GB2312" w:eastAsia="仿宋_GB2312" w:hAnsi="宋体" w:hint="eastAsia"/>
          <w:sz w:val="32"/>
          <w:szCs w:val="32"/>
        </w:rPr>
        <w:t>本行成立董事会绿色金融委员会，</w:t>
      </w:r>
      <w:r>
        <w:rPr>
          <w:rFonts w:ascii="仿宋_GB2312" w:eastAsia="仿宋_GB2312" w:hAnsi="宋体" w:hint="eastAsia"/>
          <w:sz w:val="32"/>
          <w:szCs w:val="32"/>
          <w:lang w:val="zh-TW"/>
        </w:rPr>
        <w:t>主要负责拟定本行绿色金融发展战略规划、政策、基本管理制度及其他有关绿色</w:t>
      </w:r>
      <w:r>
        <w:rPr>
          <w:rFonts w:ascii="仿宋_GB2312" w:eastAsia="仿宋_GB2312" w:hAnsi="宋体" w:hint="eastAsia"/>
          <w:sz w:val="32"/>
          <w:szCs w:val="32"/>
          <w:lang w:val="zh-TW"/>
        </w:rPr>
        <w:lastRenderedPageBreak/>
        <w:t>发展的重大事项；监督本行绿色金融发展战略规划、政策和基本管理制度的落实，对绿色金融发展效果进行评估，并向董事会提出建议</w:t>
      </w:r>
      <w:r>
        <w:rPr>
          <w:rFonts w:ascii="仿宋_GB2312" w:eastAsia="仿宋_GB2312" w:hAnsi="宋体" w:hint="eastAsia"/>
          <w:sz w:val="32"/>
          <w:szCs w:val="32"/>
        </w:rPr>
        <w:t>。</w:t>
      </w:r>
    </w:p>
    <w:p w:rsidR="00C13D7A" w:rsidRDefault="00933E15">
      <w:pPr>
        <w:pStyle w:val="a0"/>
        <w:spacing w:beforeLines="0" w:before="0" w:afterLines="0" w:after="0" w:line="580" w:lineRule="exact"/>
        <w:ind w:leftChars="67" w:left="141"/>
        <w:jc w:val="both"/>
        <w:outlineLvl w:val="1"/>
        <w:rPr>
          <w:rFonts w:ascii="楷体" w:eastAsia="楷体" w:hAnsi="楷体"/>
          <w:b/>
          <w:sz w:val="32"/>
          <w:szCs w:val="32"/>
          <w:lang w:val="zh-TW" w:eastAsia="zh-TW"/>
        </w:rPr>
      </w:pPr>
      <w:bookmarkStart w:id="100" w:name="_Toc157583857"/>
      <w:r>
        <w:rPr>
          <w:rFonts w:ascii="楷体" w:eastAsia="楷体" w:hAnsi="楷体" w:hint="eastAsia"/>
          <w:b/>
          <w:sz w:val="32"/>
          <w:szCs w:val="32"/>
          <w:lang w:val="zh-TW" w:eastAsia="zh-TW"/>
        </w:rPr>
        <w:t>董事会层面以下环境方面的职责设置</w:t>
      </w:r>
      <w:bookmarkEnd w:id="100"/>
    </w:p>
    <w:p w:rsidR="00C13D7A" w:rsidRDefault="00933E15">
      <w:pPr>
        <w:pStyle w:val="a0"/>
        <w:numPr>
          <w:ilvl w:val="0"/>
          <w:numId w:val="0"/>
        </w:numPr>
        <w:spacing w:beforeLines="0" w:before="0" w:afterLines="0" w:after="0" w:line="580" w:lineRule="exact"/>
        <w:ind w:left="141" w:firstLineChars="100" w:firstLine="320"/>
        <w:jc w:val="both"/>
        <w:outlineLvl w:val="1"/>
        <w:rPr>
          <w:rFonts w:ascii="楷体" w:eastAsia="PMingLiU" w:hAnsi="楷体"/>
          <w:sz w:val="32"/>
          <w:szCs w:val="32"/>
          <w:lang w:val="zh-TW" w:eastAsia="zh-TW"/>
        </w:rPr>
      </w:pPr>
      <w:bookmarkStart w:id="101" w:name="_Toc157583858"/>
      <w:r>
        <w:rPr>
          <w:rFonts w:ascii="楷体" w:eastAsia="楷体" w:hAnsi="楷体" w:hint="eastAsia"/>
          <w:sz w:val="32"/>
          <w:szCs w:val="32"/>
          <w:lang w:val="zh-TW" w:eastAsia="zh-TW"/>
        </w:rPr>
        <w:t>3.2.1</w:t>
      </w:r>
      <w:r>
        <w:rPr>
          <w:rFonts w:ascii="楷体" w:eastAsia="楷体" w:hAnsi="楷体" w:hint="eastAsia"/>
          <w:b/>
          <w:sz w:val="32"/>
          <w:szCs w:val="32"/>
          <w:lang w:val="zh-TW" w:eastAsia="zh-TW"/>
        </w:rPr>
        <w:t>成立绿色金融部门</w:t>
      </w:r>
      <w:bookmarkEnd w:id="101"/>
    </w:p>
    <w:p w:rsidR="00C13D7A" w:rsidRDefault="00933E15">
      <w:pPr>
        <w:pStyle w:val="af5"/>
        <w:spacing w:line="580" w:lineRule="exact"/>
        <w:ind w:firstLine="640"/>
        <w:rPr>
          <w:rFonts w:ascii="仿宋_GB2312" w:eastAsia="仿宋_GB2312" w:hAnsi="宋体"/>
          <w:sz w:val="32"/>
          <w:szCs w:val="32"/>
          <w:lang w:val="zh-TW"/>
        </w:rPr>
      </w:pPr>
      <w:r>
        <w:rPr>
          <w:rFonts w:ascii="仿宋_GB2312" w:eastAsia="仿宋_GB2312" w:hAnsi="宋体" w:hint="eastAsia"/>
          <w:sz w:val="32"/>
          <w:szCs w:val="32"/>
          <w:lang w:val="zh-TW"/>
        </w:rPr>
        <w:t>本行在高级管理层下设绿色金融创新工作专业委员会，作为全行绿色金融产品及服务创新的研发、推动和协调机构，同时成立绿色金融部（公司金融部），作为绿色金融创新工作的组织实施部门，目前配备</w:t>
      </w:r>
      <w:r>
        <w:rPr>
          <w:rFonts w:ascii="仿宋_GB2312" w:eastAsia="PMingLiU" w:hAnsi="宋体"/>
          <w:sz w:val="32"/>
          <w:szCs w:val="32"/>
          <w:lang w:val="zh-TW" w:eastAsia="zh-TW"/>
        </w:rPr>
        <w:t>5</w:t>
      </w:r>
      <w:r>
        <w:rPr>
          <w:rFonts w:ascii="仿宋_GB2312" w:eastAsia="仿宋_GB2312" w:hAnsi="宋体" w:hint="eastAsia"/>
          <w:sz w:val="32"/>
          <w:szCs w:val="32"/>
          <w:lang w:val="zh-TW"/>
        </w:rPr>
        <w:t>名专业人才，推动完善绿色金融组织架构，同时</w:t>
      </w:r>
      <w:r>
        <w:rPr>
          <w:rFonts w:ascii="仿宋_GB2312" w:eastAsia="仿宋_GB2312" w:hAnsi="宋体" w:hint="eastAsia"/>
          <w:sz w:val="32"/>
          <w:szCs w:val="32"/>
        </w:rPr>
        <w:t>进一步明确了绿色金融事业部的工作职责，推动绿色银行品牌建设</w:t>
      </w:r>
      <w:r>
        <w:rPr>
          <w:rFonts w:ascii="仿宋_GB2312" w:eastAsia="仿宋_GB2312" w:hAnsi="宋体" w:hint="eastAsia"/>
          <w:sz w:val="32"/>
          <w:szCs w:val="32"/>
          <w:lang w:val="zh-TW"/>
        </w:rPr>
        <w:t>。</w:t>
      </w:r>
    </w:p>
    <w:p w:rsidR="00C13D7A" w:rsidRDefault="00933E15">
      <w:pPr>
        <w:pStyle w:val="a0"/>
        <w:numPr>
          <w:ilvl w:val="0"/>
          <w:numId w:val="0"/>
        </w:numPr>
        <w:spacing w:beforeLines="0" w:before="0" w:afterLines="0" w:after="0" w:line="580" w:lineRule="exact"/>
        <w:ind w:left="141" w:firstLineChars="100" w:firstLine="320"/>
        <w:jc w:val="both"/>
        <w:outlineLvl w:val="1"/>
        <w:rPr>
          <w:rFonts w:ascii="楷体" w:eastAsia="PMingLiU" w:hAnsi="楷体"/>
          <w:sz w:val="32"/>
          <w:szCs w:val="32"/>
          <w:lang w:val="zh-TW" w:eastAsia="zh-TW"/>
        </w:rPr>
      </w:pPr>
      <w:bookmarkStart w:id="102" w:name="_Toc157583859"/>
      <w:r>
        <w:rPr>
          <w:rFonts w:ascii="楷体" w:eastAsia="楷体" w:hAnsi="楷体" w:hint="eastAsia"/>
          <w:sz w:val="32"/>
          <w:szCs w:val="32"/>
          <w:lang w:val="zh-TW" w:eastAsia="zh-TW"/>
        </w:rPr>
        <w:t>3.2.</w:t>
      </w:r>
      <w:r>
        <w:rPr>
          <w:rFonts w:ascii="楷体" w:eastAsia="PMingLiU" w:hAnsi="楷体"/>
          <w:sz w:val="32"/>
          <w:szCs w:val="32"/>
          <w:lang w:val="zh-TW" w:eastAsia="zh-TW"/>
        </w:rPr>
        <w:t>2</w:t>
      </w:r>
      <w:r>
        <w:rPr>
          <w:rFonts w:ascii="楷体" w:eastAsia="楷体" w:hAnsi="楷体" w:hint="eastAsia"/>
          <w:b/>
          <w:sz w:val="32"/>
          <w:szCs w:val="32"/>
          <w:lang w:val="zh-TW" w:eastAsia="zh-TW"/>
        </w:rPr>
        <w:t>成立绿色专营支行</w:t>
      </w:r>
      <w:bookmarkEnd w:id="102"/>
    </w:p>
    <w:p w:rsidR="00C13D7A" w:rsidRDefault="00933E15">
      <w:pPr>
        <w:pStyle w:val="af5"/>
        <w:spacing w:line="580" w:lineRule="exact"/>
        <w:ind w:firstLine="640"/>
        <w:rPr>
          <w:rFonts w:ascii="仿宋_GB2312" w:eastAsia="仿宋_GB2312" w:hAnsi="宋体"/>
          <w:sz w:val="32"/>
          <w:szCs w:val="32"/>
        </w:rPr>
      </w:pPr>
      <w:r>
        <w:rPr>
          <w:rFonts w:ascii="仿宋_GB2312" w:eastAsia="仿宋_GB2312" w:hAnsi="宋体" w:hint="eastAsia"/>
          <w:sz w:val="32"/>
          <w:szCs w:val="32"/>
        </w:rPr>
        <w:t>本行2</w:t>
      </w:r>
      <w:r>
        <w:rPr>
          <w:rFonts w:ascii="仿宋_GB2312" w:eastAsia="仿宋_GB2312" w:hAnsi="宋体"/>
          <w:sz w:val="32"/>
          <w:szCs w:val="32"/>
        </w:rPr>
        <w:t>018</w:t>
      </w:r>
      <w:r>
        <w:rPr>
          <w:rFonts w:ascii="仿宋_GB2312" w:eastAsia="仿宋_GB2312" w:hAnsi="宋体" w:hint="eastAsia"/>
          <w:sz w:val="32"/>
          <w:szCs w:val="32"/>
        </w:rPr>
        <w:t>年成立德清首家地信绿色专营支行，并配套制定绿色专营支行管理办法，实施绿色单列，绿色专营支行的信贷规模由总行单列，单独设立资金价格、单独设置风险管理指标、单独设立绿色信贷审批通道、单独制定绩效考核，以及规定绿色专营支行负责本支行专属的绿色信贷产品与服务研发、创新与应用，充分发挥绿色支行的</w:t>
      </w:r>
      <w:r w:rsidRPr="0072548F">
        <w:rPr>
          <w:rFonts w:ascii="仿宋_GB2312" w:eastAsia="仿宋_GB2312" w:hAnsi="宋体" w:hint="eastAsia"/>
          <w:sz w:val="32"/>
          <w:szCs w:val="32"/>
        </w:rPr>
        <w:t>效用。</w:t>
      </w:r>
      <w:r w:rsidR="00E5578A" w:rsidRPr="0072548F">
        <w:rPr>
          <w:rFonts w:ascii="仿宋_GB2312" w:eastAsia="仿宋_GB2312" w:hAnsi="宋体" w:hint="eastAsia"/>
          <w:sz w:val="32"/>
          <w:szCs w:val="32"/>
        </w:rPr>
        <w:t>截至</w:t>
      </w:r>
      <w:r w:rsidRPr="0072548F">
        <w:rPr>
          <w:rFonts w:ascii="仿宋_GB2312" w:eastAsia="仿宋_GB2312" w:hAnsi="宋体" w:hint="eastAsia"/>
          <w:sz w:val="32"/>
          <w:szCs w:val="32"/>
        </w:rPr>
        <w:t>202</w:t>
      </w:r>
      <w:r w:rsidR="0072548F" w:rsidRPr="0072548F">
        <w:rPr>
          <w:rFonts w:ascii="仿宋_GB2312" w:eastAsia="仿宋_GB2312" w:hAnsi="宋体"/>
          <w:sz w:val="32"/>
          <w:szCs w:val="32"/>
        </w:rPr>
        <w:t>4</w:t>
      </w:r>
      <w:r w:rsidRPr="0072548F">
        <w:rPr>
          <w:rFonts w:ascii="仿宋_GB2312" w:eastAsia="仿宋_GB2312" w:hAnsi="宋体" w:hint="eastAsia"/>
          <w:sz w:val="32"/>
          <w:szCs w:val="32"/>
        </w:rPr>
        <w:t>年末，绿色信贷余额</w:t>
      </w:r>
      <w:r w:rsidR="0072548F" w:rsidRPr="0072548F">
        <w:rPr>
          <w:rFonts w:ascii="仿宋_GB2312" w:eastAsia="仿宋_GB2312" w:hAnsi="宋体"/>
          <w:sz w:val="32"/>
          <w:szCs w:val="32"/>
        </w:rPr>
        <w:t>52273.4</w:t>
      </w:r>
      <w:r w:rsidRPr="0072548F">
        <w:rPr>
          <w:rFonts w:ascii="仿宋_GB2312" w:eastAsia="仿宋_GB2312" w:hAnsi="宋体" w:hint="eastAsia"/>
          <w:sz w:val="32"/>
          <w:szCs w:val="32"/>
        </w:rPr>
        <w:t>万元。</w:t>
      </w:r>
    </w:p>
    <w:p w:rsidR="00C13D7A" w:rsidRDefault="00933E15">
      <w:pPr>
        <w:pStyle w:val="Af6"/>
        <w:spacing w:line="560" w:lineRule="exact"/>
        <w:jc w:val="center"/>
        <w:rPr>
          <w:rFonts w:ascii="黑体" w:eastAsia="黑体" w:hAnsi="黑体" w:cs="仿宋_GB2312"/>
          <w:sz w:val="24"/>
          <w:szCs w:val="24"/>
        </w:rPr>
      </w:pPr>
      <w:r>
        <w:rPr>
          <w:rFonts w:ascii="黑体" w:eastAsia="黑体" w:hAnsi="黑体" w:cs="仿宋_GB2312" w:hint="eastAsia"/>
          <w:sz w:val="24"/>
          <w:szCs w:val="24"/>
        </w:rPr>
        <w:t>表1. 银行机构绿色支行情况表</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2156"/>
        <w:gridCol w:w="1984"/>
        <w:gridCol w:w="1559"/>
        <w:gridCol w:w="1352"/>
      </w:tblGrid>
      <w:tr w:rsidR="00C13D7A">
        <w:trPr>
          <w:trHeight w:val="894"/>
          <w:jc w:val="center"/>
        </w:trPr>
        <w:tc>
          <w:tcPr>
            <w:tcW w:w="16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13D7A" w:rsidRDefault="00933E15">
            <w:pPr>
              <w:pStyle w:val="Af6"/>
              <w:spacing w:line="560" w:lineRule="exact"/>
              <w:jc w:val="center"/>
              <w:rPr>
                <w:rFonts w:ascii="宋体" w:eastAsia="宋体" w:hAnsi="宋体" w:cs="仿宋_GB2312"/>
                <w:b/>
                <w:sz w:val="20"/>
                <w:szCs w:val="20"/>
              </w:rPr>
            </w:pPr>
            <w:r>
              <w:rPr>
                <w:rFonts w:eastAsia="宋体" w:cs="仿宋_GB2312" w:hint="eastAsia"/>
                <w:b/>
                <w:sz w:val="20"/>
                <w:szCs w:val="20"/>
              </w:rPr>
              <w:t>支行名称</w:t>
            </w:r>
          </w:p>
        </w:tc>
        <w:tc>
          <w:tcPr>
            <w:tcW w:w="2156" w:type="dxa"/>
            <w:tcBorders>
              <w:top w:val="single" w:sz="4" w:space="0" w:color="auto"/>
              <w:left w:val="nil"/>
              <w:bottom w:val="single" w:sz="4" w:space="0" w:color="auto"/>
              <w:right w:val="single" w:sz="4" w:space="0" w:color="auto"/>
            </w:tcBorders>
            <w:shd w:val="clear" w:color="auto" w:fill="DEEAF6" w:themeFill="accent1" w:themeFillTint="33"/>
          </w:tcPr>
          <w:p w:rsidR="00C13D7A" w:rsidRDefault="00933E15">
            <w:pPr>
              <w:pStyle w:val="Af6"/>
              <w:spacing w:line="560" w:lineRule="exact"/>
              <w:jc w:val="center"/>
              <w:rPr>
                <w:rFonts w:eastAsia="宋体" w:cs="仿宋_GB2312"/>
                <w:b/>
                <w:sz w:val="20"/>
                <w:szCs w:val="20"/>
              </w:rPr>
            </w:pPr>
            <w:r>
              <w:rPr>
                <w:rFonts w:eastAsia="宋体" w:cs="仿宋_GB2312" w:hint="eastAsia"/>
                <w:b/>
                <w:sz w:val="20"/>
                <w:szCs w:val="20"/>
              </w:rPr>
              <w:t>批复时间</w:t>
            </w:r>
          </w:p>
        </w:tc>
        <w:tc>
          <w:tcPr>
            <w:tcW w:w="1984" w:type="dxa"/>
            <w:tcBorders>
              <w:top w:val="single" w:sz="4" w:space="0" w:color="auto"/>
              <w:left w:val="nil"/>
              <w:bottom w:val="single" w:sz="4" w:space="0" w:color="auto"/>
              <w:right w:val="single" w:sz="4" w:space="0" w:color="auto"/>
            </w:tcBorders>
            <w:shd w:val="clear" w:color="auto" w:fill="DEEAF6" w:themeFill="accent1" w:themeFillTint="33"/>
          </w:tcPr>
          <w:p w:rsidR="00C13D7A" w:rsidRDefault="00933E15">
            <w:pPr>
              <w:pStyle w:val="Af6"/>
              <w:spacing w:line="560" w:lineRule="exact"/>
              <w:jc w:val="center"/>
              <w:rPr>
                <w:rFonts w:eastAsia="宋体" w:cs="仿宋_GB2312"/>
                <w:b/>
                <w:sz w:val="20"/>
                <w:szCs w:val="20"/>
              </w:rPr>
            </w:pPr>
            <w:r>
              <w:rPr>
                <w:rFonts w:eastAsia="宋体" w:cs="仿宋_GB2312" w:hint="eastAsia"/>
                <w:b/>
                <w:sz w:val="20"/>
                <w:szCs w:val="20"/>
              </w:rPr>
              <w:t>绿色信贷余额</w:t>
            </w:r>
          </w:p>
          <w:p w:rsidR="00C13D7A" w:rsidRDefault="00933E15">
            <w:pPr>
              <w:pStyle w:val="Af6"/>
              <w:spacing w:line="560" w:lineRule="exact"/>
              <w:jc w:val="center"/>
              <w:rPr>
                <w:rFonts w:eastAsia="宋体" w:cs="仿宋_GB2312"/>
                <w:b/>
                <w:sz w:val="20"/>
                <w:szCs w:val="20"/>
              </w:rPr>
            </w:pPr>
            <w:r>
              <w:rPr>
                <w:rFonts w:eastAsia="宋体" w:cs="仿宋_GB2312" w:hint="eastAsia"/>
                <w:b/>
                <w:sz w:val="20"/>
                <w:szCs w:val="20"/>
              </w:rPr>
              <w:t>（</w:t>
            </w:r>
            <w:r>
              <w:rPr>
                <w:rFonts w:eastAsia="宋体" w:cs="仿宋_GB2312" w:hint="eastAsia"/>
                <w:b/>
                <w:sz w:val="20"/>
                <w:szCs w:val="20"/>
              </w:rPr>
              <w:t>202</w:t>
            </w:r>
            <w:r>
              <w:rPr>
                <w:rFonts w:eastAsia="宋体" w:cs="仿宋_GB2312"/>
                <w:b/>
                <w:sz w:val="20"/>
                <w:szCs w:val="20"/>
              </w:rPr>
              <w:t>3</w:t>
            </w:r>
            <w:r>
              <w:rPr>
                <w:rFonts w:eastAsia="宋体" w:cs="仿宋_GB2312" w:hint="eastAsia"/>
                <w:b/>
                <w:sz w:val="20"/>
                <w:szCs w:val="20"/>
              </w:rPr>
              <w:t>年四季度）</w:t>
            </w:r>
          </w:p>
        </w:tc>
        <w:tc>
          <w:tcPr>
            <w:tcW w:w="1559" w:type="dxa"/>
            <w:tcBorders>
              <w:top w:val="single" w:sz="4" w:space="0" w:color="auto"/>
              <w:left w:val="nil"/>
              <w:bottom w:val="single" w:sz="4" w:space="0" w:color="auto"/>
              <w:right w:val="single" w:sz="4" w:space="0" w:color="auto"/>
            </w:tcBorders>
            <w:shd w:val="clear" w:color="auto" w:fill="DEEAF6" w:themeFill="accent1" w:themeFillTint="33"/>
          </w:tcPr>
          <w:p w:rsidR="00C13D7A" w:rsidRDefault="00933E15">
            <w:pPr>
              <w:pStyle w:val="Af6"/>
              <w:spacing w:line="560" w:lineRule="exact"/>
              <w:jc w:val="center"/>
              <w:rPr>
                <w:rFonts w:eastAsia="宋体" w:cs="仿宋_GB2312"/>
                <w:b/>
                <w:sz w:val="20"/>
                <w:szCs w:val="20"/>
              </w:rPr>
            </w:pPr>
            <w:r>
              <w:rPr>
                <w:rFonts w:eastAsia="宋体" w:cs="仿宋_GB2312" w:hint="eastAsia"/>
                <w:b/>
                <w:sz w:val="20"/>
                <w:szCs w:val="20"/>
              </w:rPr>
              <w:t>绿色信贷占比</w:t>
            </w:r>
          </w:p>
        </w:tc>
        <w:tc>
          <w:tcPr>
            <w:tcW w:w="1352" w:type="dxa"/>
            <w:tcBorders>
              <w:top w:val="single" w:sz="4" w:space="0" w:color="auto"/>
              <w:left w:val="nil"/>
              <w:bottom w:val="single" w:sz="4" w:space="0" w:color="auto"/>
              <w:right w:val="single" w:sz="4" w:space="0" w:color="auto"/>
            </w:tcBorders>
            <w:shd w:val="clear" w:color="auto" w:fill="DEEAF6" w:themeFill="accent1" w:themeFillTint="33"/>
          </w:tcPr>
          <w:p w:rsidR="00C13D7A" w:rsidRDefault="00933E15">
            <w:pPr>
              <w:pStyle w:val="Af6"/>
              <w:spacing w:line="560" w:lineRule="exact"/>
              <w:jc w:val="center"/>
              <w:rPr>
                <w:rFonts w:eastAsia="宋体" w:cs="仿宋_GB2312"/>
                <w:b/>
                <w:sz w:val="20"/>
                <w:szCs w:val="20"/>
              </w:rPr>
            </w:pPr>
            <w:r>
              <w:rPr>
                <w:rFonts w:eastAsia="宋体" w:cs="仿宋_GB2312" w:hint="eastAsia"/>
                <w:b/>
                <w:sz w:val="20"/>
                <w:szCs w:val="20"/>
              </w:rPr>
              <w:t>专职员工数</w:t>
            </w:r>
          </w:p>
        </w:tc>
      </w:tr>
      <w:tr w:rsidR="00C13D7A">
        <w:trPr>
          <w:trHeight w:val="682"/>
          <w:jc w:val="center"/>
        </w:trPr>
        <w:tc>
          <w:tcPr>
            <w:tcW w:w="1667" w:type="dxa"/>
            <w:tcBorders>
              <w:top w:val="single" w:sz="4" w:space="0" w:color="auto"/>
              <w:left w:val="single" w:sz="4" w:space="0" w:color="auto"/>
              <w:bottom w:val="single" w:sz="4" w:space="0" w:color="auto"/>
              <w:right w:val="single" w:sz="4" w:space="0" w:color="auto"/>
            </w:tcBorders>
          </w:tcPr>
          <w:p w:rsidR="00C13D7A" w:rsidRDefault="00933E15">
            <w:pPr>
              <w:pStyle w:val="Af6"/>
              <w:spacing w:line="560" w:lineRule="exact"/>
              <w:jc w:val="center"/>
              <w:rPr>
                <w:rFonts w:eastAsia="宋体" w:cs="仿宋_GB2312"/>
                <w:sz w:val="20"/>
                <w:szCs w:val="20"/>
              </w:rPr>
            </w:pPr>
            <w:r>
              <w:rPr>
                <w:rFonts w:eastAsia="宋体" w:cs="仿宋_GB2312" w:hint="eastAsia"/>
                <w:sz w:val="20"/>
                <w:szCs w:val="20"/>
              </w:rPr>
              <w:t>地信绿色支行</w:t>
            </w:r>
          </w:p>
        </w:tc>
        <w:tc>
          <w:tcPr>
            <w:tcW w:w="2156" w:type="dxa"/>
            <w:tcBorders>
              <w:top w:val="single" w:sz="4" w:space="0" w:color="auto"/>
              <w:left w:val="nil"/>
              <w:bottom w:val="single" w:sz="4" w:space="0" w:color="auto"/>
              <w:right w:val="single" w:sz="4" w:space="0" w:color="auto"/>
            </w:tcBorders>
          </w:tcPr>
          <w:p w:rsidR="00C13D7A" w:rsidRDefault="00933E15">
            <w:pPr>
              <w:pStyle w:val="Af6"/>
              <w:spacing w:line="560" w:lineRule="exact"/>
              <w:jc w:val="center"/>
              <w:rPr>
                <w:rFonts w:eastAsia="宋体" w:cs="仿宋_GB2312"/>
                <w:sz w:val="20"/>
                <w:szCs w:val="20"/>
              </w:rPr>
            </w:pPr>
            <w:r>
              <w:rPr>
                <w:rFonts w:eastAsia="宋体" w:cs="仿宋_GB2312" w:hint="eastAsia"/>
                <w:sz w:val="20"/>
                <w:szCs w:val="20"/>
              </w:rPr>
              <w:t>2018</w:t>
            </w:r>
            <w:r>
              <w:rPr>
                <w:rFonts w:eastAsia="宋体" w:cs="仿宋_GB2312" w:hint="eastAsia"/>
                <w:sz w:val="20"/>
                <w:szCs w:val="20"/>
              </w:rPr>
              <w:t>年</w:t>
            </w:r>
            <w:r>
              <w:rPr>
                <w:rFonts w:eastAsia="宋体" w:cs="仿宋_GB2312" w:hint="eastAsia"/>
                <w:sz w:val="20"/>
                <w:szCs w:val="20"/>
              </w:rPr>
              <w:t>11</w:t>
            </w:r>
            <w:r>
              <w:rPr>
                <w:rFonts w:eastAsia="宋体" w:cs="仿宋_GB2312" w:hint="eastAsia"/>
                <w:sz w:val="20"/>
                <w:szCs w:val="20"/>
              </w:rPr>
              <w:t>月</w:t>
            </w:r>
            <w:r>
              <w:rPr>
                <w:rFonts w:eastAsia="宋体" w:cs="仿宋_GB2312" w:hint="eastAsia"/>
                <w:sz w:val="20"/>
                <w:szCs w:val="20"/>
              </w:rPr>
              <w:t>11</w:t>
            </w:r>
            <w:r>
              <w:rPr>
                <w:rFonts w:eastAsia="宋体" w:cs="仿宋_GB2312" w:hint="eastAsia"/>
                <w:sz w:val="20"/>
                <w:szCs w:val="20"/>
              </w:rPr>
              <w:t>日</w:t>
            </w:r>
          </w:p>
        </w:tc>
        <w:tc>
          <w:tcPr>
            <w:tcW w:w="1984" w:type="dxa"/>
            <w:tcBorders>
              <w:top w:val="single" w:sz="4" w:space="0" w:color="auto"/>
              <w:left w:val="nil"/>
              <w:bottom w:val="single" w:sz="4" w:space="0" w:color="auto"/>
              <w:right w:val="single" w:sz="4" w:space="0" w:color="auto"/>
            </w:tcBorders>
          </w:tcPr>
          <w:p w:rsidR="00C13D7A" w:rsidRDefault="0072548F">
            <w:pPr>
              <w:pStyle w:val="Af6"/>
              <w:spacing w:line="560" w:lineRule="exact"/>
              <w:jc w:val="center"/>
              <w:rPr>
                <w:rFonts w:eastAsia="宋体" w:cs="仿宋_GB2312"/>
                <w:sz w:val="20"/>
                <w:szCs w:val="20"/>
              </w:rPr>
            </w:pPr>
            <w:r>
              <w:rPr>
                <w:rFonts w:eastAsia="宋体" w:cs="仿宋_GB2312"/>
                <w:sz w:val="20"/>
                <w:szCs w:val="20"/>
              </w:rPr>
              <w:t>52273.4</w:t>
            </w:r>
            <w:r w:rsidR="00933E15">
              <w:rPr>
                <w:rFonts w:eastAsia="宋体" w:cs="仿宋_GB2312" w:hint="eastAsia"/>
                <w:sz w:val="20"/>
                <w:szCs w:val="20"/>
              </w:rPr>
              <w:t>万元</w:t>
            </w:r>
          </w:p>
        </w:tc>
        <w:tc>
          <w:tcPr>
            <w:tcW w:w="1559" w:type="dxa"/>
            <w:tcBorders>
              <w:top w:val="single" w:sz="4" w:space="0" w:color="auto"/>
              <w:left w:val="nil"/>
              <w:bottom w:val="single" w:sz="4" w:space="0" w:color="auto"/>
              <w:right w:val="single" w:sz="4" w:space="0" w:color="auto"/>
            </w:tcBorders>
          </w:tcPr>
          <w:p w:rsidR="00C13D7A" w:rsidRDefault="0072548F">
            <w:pPr>
              <w:pStyle w:val="Af6"/>
              <w:spacing w:line="560" w:lineRule="exact"/>
              <w:jc w:val="center"/>
              <w:rPr>
                <w:rFonts w:eastAsia="宋体" w:cs="仿宋_GB2312"/>
                <w:sz w:val="20"/>
                <w:szCs w:val="20"/>
              </w:rPr>
            </w:pPr>
            <w:r>
              <w:rPr>
                <w:rFonts w:eastAsia="宋体" w:cs="仿宋_GB2312"/>
                <w:sz w:val="20"/>
                <w:szCs w:val="20"/>
              </w:rPr>
              <w:t>96</w:t>
            </w:r>
            <w:r w:rsidR="00933E15">
              <w:rPr>
                <w:rFonts w:eastAsia="宋体" w:cs="仿宋_GB2312" w:hint="eastAsia"/>
                <w:sz w:val="20"/>
                <w:szCs w:val="20"/>
              </w:rPr>
              <w:t>%</w:t>
            </w:r>
          </w:p>
        </w:tc>
        <w:tc>
          <w:tcPr>
            <w:tcW w:w="1352" w:type="dxa"/>
            <w:tcBorders>
              <w:top w:val="single" w:sz="4" w:space="0" w:color="auto"/>
              <w:left w:val="nil"/>
              <w:bottom w:val="single" w:sz="4" w:space="0" w:color="auto"/>
              <w:right w:val="single" w:sz="4" w:space="0" w:color="auto"/>
            </w:tcBorders>
          </w:tcPr>
          <w:p w:rsidR="00C13D7A" w:rsidRDefault="00933E15">
            <w:pPr>
              <w:pStyle w:val="Af6"/>
              <w:spacing w:line="560" w:lineRule="exact"/>
              <w:jc w:val="center"/>
              <w:rPr>
                <w:rFonts w:eastAsia="宋体" w:cs="仿宋_GB2312"/>
                <w:sz w:val="20"/>
                <w:szCs w:val="20"/>
              </w:rPr>
            </w:pPr>
            <w:r>
              <w:rPr>
                <w:rFonts w:eastAsia="宋体" w:cs="仿宋_GB2312" w:hint="eastAsia"/>
                <w:sz w:val="20"/>
                <w:szCs w:val="20"/>
              </w:rPr>
              <w:t>12</w:t>
            </w:r>
            <w:r>
              <w:rPr>
                <w:rFonts w:eastAsia="宋体" w:cs="仿宋_GB2312" w:hint="eastAsia"/>
                <w:sz w:val="20"/>
                <w:szCs w:val="20"/>
              </w:rPr>
              <w:t>户</w:t>
            </w:r>
            <w:r>
              <w:rPr>
                <w:rFonts w:eastAsia="宋体" w:cs="仿宋_GB2312" w:hint="eastAsia"/>
                <w:sz w:val="20"/>
                <w:szCs w:val="20"/>
              </w:rPr>
              <w:t xml:space="preserve"> </w:t>
            </w:r>
          </w:p>
        </w:tc>
      </w:tr>
    </w:tbl>
    <w:p w:rsidR="00C13D7A" w:rsidRDefault="00C13D7A">
      <w:pPr>
        <w:pStyle w:val="af5"/>
        <w:spacing w:line="580" w:lineRule="exact"/>
        <w:ind w:firstLine="640"/>
        <w:rPr>
          <w:rFonts w:ascii="仿宋_GB2312" w:eastAsia="仿宋_GB2312" w:hAnsi="宋体"/>
          <w:sz w:val="32"/>
          <w:szCs w:val="32"/>
        </w:rPr>
      </w:pPr>
    </w:p>
    <w:p w:rsidR="00C13D7A" w:rsidRDefault="00933E15">
      <w:pPr>
        <w:pStyle w:val="a"/>
        <w:tabs>
          <w:tab w:val="left" w:pos="720"/>
        </w:tabs>
        <w:spacing w:beforeLines="0" w:before="0" w:afterLines="0" w:after="0" w:line="580" w:lineRule="exact"/>
        <w:outlineLvl w:val="0"/>
        <w:rPr>
          <w:rFonts w:hAnsi="黑体"/>
          <w:b/>
          <w:sz w:val="32"/>
          <w:szCs w:val="32"/>
        </w:rPr>
      </w:pPr>
      <w:bookmarkStart w:id="103" w:name="_Toc23339687"/>
      <w:bookmarkStart w:id="104" w:name="_Toc23339949"/>
      <w:bookmarkStart w:id="105" w:name="_Toc38615469"/>
      <w:bookmarkStart w:id="106" w:name="_Toc38615324"/>
      <w:bookmarkStart w:id="107" w:name="_Toc38615361"/>
      <w:bookmarkStart w:id="108" w:name="_Toc157583860"/>
      <w:r>
        <w:rPr>
          <w:rFonts w:hAnsi="黑体" w:hint="eastAsia"/>
          <w:b/>
          <w:sz w:val="32"/>
          <w:szCs w:val="32"/>
        </w:rPr>
        <w:t>本行</w:t>
      </w:r>
      <w:bookmarkEnd w:id="103"/>
      <w:bookmarkEnd w:id="104"/>
      <w:bookmarkEnd w:id="105"/>
      <w:bookmarkEnd w:id="106"/>
      <w:bookmarkEnd w:id="107"/>
      <w:r>
        <w:rPr>
          <w:rFonts w:hAnsi="黑体" w:hint="eastAsia"/>
          <w:b/>
          <w:sz w:val="32"/>
          <w:szCs w:val="32"/>
        </w:rPr>
        <w:t>环境相关政策制度</w:t>
      </w:r>
      <w:bookmarkEnd w:id="108"/>
    </w:p>
    <w:p w:rsidR="00C13D7A" w:rsidRDefault="00933E15">
      <w:pPr>
        <w:pStyle w:val="a0"/>
        <w:spacing w:beforeLines="0" w:before="0" w:afterLines="0" w:after="0" w:line="580" w:lineRule="exact"/>
        <w:ind w:leftChars="67" w:left="141"/>
        <w:jc w:val="both"/>
        <w:outlineLvl w:val="1"/>
        <w:rPr>
          <w:rFonts w:ascii="楷体" w:eastAsia="楷体" w:hAnsi="楷体"/>
          <w:b/>
          <w:sz w:val="32"/>
          <w:szCs w:val="32"/>
          <w:lang w:val="zh-TW" w:eastAsia="zh-TW"/>
        </w:rPr>
      </w:pPr>
      <w:bookmarkStart w:id="109" w:name="_Toc157583861"/>
      <w:r>
        <w:rPr>
          <w:rFonts w:ascii="楷体" w:eastAsia="楷体" w:hAnsi="楷体" w:hint="eastAsia"/>
          <w:b/>
          <w:sz w:val="32"/>
          <w:szCs w:val="32"/>
          <w:lang w:val="zh-TW" w:eastAsia="zh-TW"/>
        </w:rPr>
        <w:t>环境政策可能对金融机构产生的影响</w:t>
      </w:r>
      <w:bookmarkEnd w:id="109"/>
    </w:p>
    <w:p w:rsidR="00C13D7A" w:rsidRDefault="00933E15">
      <w:pPr>
        <w:spacing w:line="560" w:lineRule="exact"/>
        <w:ind w:firstLineChars="200" w:firstLine="640"/>
        <w:rPr>
          <w:rFonts w:ascii="仿宋_GB2312" w:eastAsia="仿宋_GB2312"/>
          <w:color w:val="000000"/>
          <w:sz w:val="32"/>
          <w:szCs w:val="32"/>
        </w:rPr>
      </w:pPr>
      <w:r>
        <w:rPr>
          <w:rFonts w:ascii="仿宋_GB2312" w:eastAsia="仿宋_GB2312" w:hAnsi="宋体" w:hint="eastAsia"/>
          <w:sz w:val="32"/>
          <w:szCs w:val="32"/>
        </w:rPr>
        <w:t>本行严格遵守国家及地区相关法律法规，重视企业管治，持续优化本行治理水平，推动公司内部环境与社会风险准入、退出机制建设、绿色金融相关制度、反洗钱等合</w:t>
      </w:r>
      <w:proofErr w:type="gramStart"/>
      <w:r>
        <w:rPr>
          <w:rFonts w:ascii="仿宋_GB2312" w:eastAsia="仿宋_GB2312" w:hAnsi="宋体" w:hint="eastAsia"/>
          <w:sz w:val="32"/>
          <w:szCs w:val="32"/>
        </w:rPr>
        <w:t>规</w:t>
      </w:r>
      <w:proofErr w:type="gramEnd"/>
      <w:r>
        <w:rPr>
          <w:rFonts w:ascii="仿宋_GB2312" w:eastAsia="仿宋_GB2312" w:hAnsi="宋体" w:hint="eastAsia"/>
          <w:sz w:val="32"/>
          <w:szCs w:val="32"/>
        </w:rPr>
        <w:t>体系建设，并致力于向国际标准看齐。</w:t>
      </w:r>
      <w:r>
        <w:rPr>
          <w:rFonts w:ascii="仿宋_GB2312" w:eastAsia="仿宋_GB2312" w:hint="eastAsia"/>
          <w:sz w:val="32"/>
          <w:szCs w:val="32"/>
        </w:rPr>
        <w:t>本行推出绿色自动映射标准，显化绿色金融资产管理。首推名单制、产品制、单列制自动映射办法，按照产业特征对接名单制、信贷产品对接产品制、行业投向对接单列制的原则，设置与央行、银保监会、</w:t>
      </w:r>
      <w:proofErr w:type="gramStart"/>
      <w:r>
        <w:rPr>
          <w:rFonts w:ascii="仿宋_GB2312" w:eastAsia="仿宋_GB2312" w:hint="eastAsia"/>
          <w:sz w:val="32"/>
          <w:szCs w:val="32"/>
        </w:rPr>
        <w:t>绿金委等</w:t>
      </w:r>
      <w:proofErr w:type="gramEnd"/>
      <w:r>
        <w:rPr>
          <w:rFonts w:ascii="仿宋_GB2312" w:eastAsia="仿宋_GB2312" w:hint="eastAsia"/>
          <w:sz w:val="32"/>
          <w:szCs w:val="32"/>
        </w:rPr>
        <w:t>权威部门出台的绿色信贷统计制度、绿色贷款专项统计、绿色债券支持项目目录等规定关联的标准映射模块，并依托绿色银行服务平台实现绿色金融资产地自动导入、逐笔识别、一键导出、数据可视。解决了信贷资产用途和笔数</w:t>
      </w:r>
      <w:r>
        <w:rPr>
          <w:rFonts w:eastAsia="仿宋_GB2312" w:hint="eastAsia"/>
          <w:sz w:val="32"/>
          <w:szCs w:val="32"/>
        </w:rPr>
        <w:t>“</w:t>
      </w:r>
      <w:r>
        <w:rPr>
          <w:rFonts w:ascii="仿宋_GB2312" w:eastAsia="仿宋_GB2312" w:hint="eastAsia"/>
          <w:sz w:val="32"/>
          <w:szCs w:val="32"/>
        </w:rPr>
        <w:t>多乱杂</w:t>
      </w:r>
      <w:r>
        <w:rPr>
          <w:rFonts w:hint="eastAsia"/>
          <w:sz w:val="32"/>
          <w:szCs w:val="32"/>
        </w:rPr>
        <w:t>”</w:t>
      </w:r>
      <w:r>
        <w:rPr>
          <w:rFonts w:ascii="仿宋_GB2312" w:eastAsia="仿宋_GB2312" w:hint="eastAsia"/>
          <w:sz w:val="32"/>
          <w:szCs w:val="32"/>
        </w:rPr>
        <w:t>等现状下的归类统计难问题，实现精准归类、精准统计，实时调整优化自身的资产结构、投向和占比。</w:t>
      </w:r>
      <w:r>
        <w:rPr>
          <w:rFonts w:ascii="仿宋_GB2312" w:eastAsia="仿宋_GB2312" w:hint="eastAsia"/>
          <w:color w:val="000000"/>
          <w:sz w:val="32"/>
          <w:szCs w:val="32"/>
        </w:rPr>
        <w:t>通过配套建立各类信贷管理制度，加速绿色信贷投放。</w:t>
      </w:r>
    </w:p>
    <w:p w:rsidR="00C13D7A" w:rsidRDefault="00933E15">
      <w:pPr>
        <w:pStyle w:val="a0"/>
        <w:spacing w:beforeLines="0" w:before="0" w:afterLines="0" w:after="0" w:line="580" w:lineRule="exact"/>
        <w:ind w:leftChars="67" w:left="141"/>
        <w:jc w:val="both"/>
        <w:outlineLvl w:val="1"/>
        <w:rPr>
          <w:rFonts w:ascii="楷体" w:eastAsia="楷体" w:hAnsi="楷体"/>
          <w:b/>
          <w:sz w:val="32"/>
          <w:szCs w:val="32"/>
          <w:lang w:val="zh-TW" w:eastAsia="zh-TW"/>
        </w:rPr>
      </w:pPr>
      <w:bookmarkStart w:id="110" w:name="_Toc157583862"/>
      <w:r>
        <w:rPr>
          <w:rFonts w:ascii="楷体" w:eastAsia="楷体" w:hAnsi="楷体" w:hint="eastAsia"/>
          <w:b/>
          <w:sz w:val="32"/>
          <w:szCs w:val="32"/>
          <w:lang w:val="zh-TW" w:eastAsia="zh-TW"/>
        </w:rPr>
        <w:t>本机构与环境相关的现行政策</w:t>
      </w:r>
      <w:bookmarkEnd w:id="110"/>
    </w:p>
    <w:p w:rsidR="00C13D7A" w:rsidRDefault="00933E15">
      <w:pPr>
        <w:pStyle w:val="Af6"/>
        <w:spacing w:line="560" w:lineRule="exact"/>
        <w:jc w:val="center"/>
        <w:rPr>
          <w:rFonts w:ascii="黑体" w:eastAsia="黑体" w:hAnsi="黑体" w:cs="仿宋_GB2312"/>
          <w:sz w:val="24"/>
          <w:szCs w:val="24"/>
        </w:rPr>
      </w:pPr>
      <w:r>
        <w:rPr>
          <w:rFonts w:ascii="黑体" w:eastAsia="黑体" w:hAnsi="黑体" w:cs="仿宋_GB2312" w:hint="eastAsia"/>
          <w:sz w:val="24"/>
          <w:szCs w:val="24"/>
        </w:rPr>
        <w:t>表2. 金融机构环境政策制度情况表</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372"/>
        <w:gridCol w:w="896"/>
        <w:gridCol w:w="3549"/>
        <w:gridCol w:w="851"/>
      </w:tblGrid>
      <w:tr w:rsidR="00C13D7A">
        <w:trPr>
          <w:trHeight w:val="652"/>
        </w:trPr>
        <w:tc>
          <w:tcPr>
            <w:tcW w:w="1838" w:type="dxa"/>
            <w:shd w:val="clear" w:color="auto" w:fill="DEEAF6" w:themeFill="accent1" w:themeFillTint="33"/>
          </w:tcPr>
          <w:p w:rsidR="00C13D7A" w:rsidRDefault="00933E15">
            <w:pPr>
              <w:pStyle w:val="Af6"/>
              <w:spacing w:line="560" w:lineRule="exact"/>
              <w:jc w:val="center"/>
              <w:rPr>
                <w:rFonts w:eastAsia="宋体" w:cs="仿宋_GB2312"/>
                <w:b/>
                <w:sz w:val="20"/>
                <w:szCs w:val="20"/>
              </w:rPr>
            </w:pPr>
            <w:r>
              <w:rPr>
                <w:rFonts w:eastAsia="宋体" w:cs="仿宋_GB2312" w:hint="eastAsia"/>
                <w:b/>
                <w:sz w:val="20"/>
                <w:szCs w:val="20"/>
              </w:rPr>
              <w:t>文件名称</w:t>
            </w:r>
          </w:p>
        </w:tc>
        <w:tc>
          <w:tcPr>
            <w:tcW w:w="1372" w:type="dxa"/>
            <w:shd w:val="clear" w:color="auto" w:fill="DEEAF6" w:themeFill="accent1" w:themeFillTint="33"/>
          </w:tcPr>
          <w:p w:rsidR="00C13D7A" w:rsidRDefault="00933E15">
            <w:pPr>
              <w:pStyle w:val="Af6"/>
              <w:spacing w:line="560" w:lineRule="exact"/>
              <w:jc w:val="center"/>
              <w:rPr>
                <w:rFonts w:eastAsia="宋体" w:cs="仿宋_GB2312"/>
                <w:b/>
                <w:sz w:val="20"/>
                <w:szCs w:val="20"/>
              </w:rPr>
            </w:pPr>
            <w:r>
              <w:rPr>
                <w:rFonts w:eastAsia="宋体" w:cs="仿宋_GB2312" w:hint="eastAsia"/>
                <w:b/>
                <w:sz w:val="20"/>
                <w:szCs w:val="20"/>
              </w:rPr>
              <w:t>发文</w:t>
            </w:r>
            <w:proofErr w:type="gramStart"/>
            <w:r>
              <w:rPr>
                <w:rFonts w:eastAsia="宋体" w:cs="仿宋_GB2312" w:hint="eastAsia"/>
                <w:b/>
                <w:sz w:val="20"/>
                <w:szCs w:val="20"/>
              </w:rPr>
              <w:t>文</w:t>
            </w:r>
            <w:proofErr w:type="gramEnd"/>
            <w:r>
              <w:rPr>
                <w:rFonts w:eastAsia="宋体" w:cs="仿宋_GB2312" w:hint="eastAsia"/>
                <w:b/>
                <w:sz w:val="20"/>
                <w:szCs w:val="20"/>
              </w:rPr>
              <w:t>号</w:t>
            </w:r>
          </w:p>
        </w:tc>
        <w:tc>
          <w:tcPr>
            <w:tcW w:w="896" w:type="dxa"/>
            <w:shd w:val="clear" w:color="auto" w:fill="DEEAF6" w:themeFill="accent1" w:themeFillTint="33"/>
          </w:tcPr>
          <w:p w:rsidR="00C13D7A" w:rsidRDefault="00933E15">
            <w:pPr>
              <w:pStyle w:val="Af6"/>
              <w:spacing w:line="560" w:lineRule="exact"/>
              <w:jc w:val="center"/>
              <w:rPr>
                <w:rFonts w:eastAsia="宋体" w:cs="仿宋_GB2312"/>
                <w:b/>
                <w:sz w:val="20"/>
                <w:szCs w:val="20"/>
              </w:rPr>
            </w:pPr>
            <w:r>
              <w:rPr>
                <w:rFonts w:eastAsia="宋体" w:cs="仿宋_GB2312" w:hint="eastAsia"/>
                <w:b/>
                <w:sz w:val="20"/>
                <w:szCs w:val="20"/>
              </w:rPr>
              <w:t>文件类型</w:t>
            </w:r>
          </w:p>
        </w:tc>
        <w:tc>
          <w:tcPr>
            <w:tcW w:w="3549" w:type="dxa"/>
            <w:shd w:val="clear" w:color="auto" w:fill="DEEAF6" w:themeFill="accent1" w:themeFillTint="33"/>
          </w:tcPr>
          <w:p w:rsidR="00C13D7A" w:rsidRDefault="00933E15">
            <w:pPr>
              <w:pStyle w:val="Af6"/>
              <w:spacing w:line="560" w:lineRule="exact"/>
              <w:jc w:val="center"/>
              <w:rPr>
                <w:rFonts w:eastAsia="宋体" w:cs="仿宋_GB2312"/>
                <w:b/>
                <w:sz w:val="20"/>
                <w:szCs w:val="20"/>
              </w:rPr>
            </w:pPr>
            <w:r>
              <w:rPr>
                <w:rFonts w:eastAsia="宋体" w:cs="仿宋_GB2312" w:hint="eastAsia"/>
                <w:b/>
                <w:sz w:val="20"/>
                <w:szCs w:val="20"/>
              </w:rPr>
              <w:t>文件主要内容</w:t>
            </w:r>
          </w:p>
        </w:tc>
        <w:tc>
          <w:tcPr>
            <w:tcW w:w="851" w:type="dxa"/>
            <w:shd w:val="clear" w:color="auto" w:fill="DEEAF6" w:themeFill="accent1" w:themeFillTint="33"/>
          </w:tcPr>
          <w:p w:rsidR="00C13D7A" w:rsidRDefault="00933E15">
            <w:pPr>
              <w:pStyle w:val="Af6"/>
              <w:spacing w:line="560" w:lineRule="exact"/>
              <w:jc w:val="center"/>
              <w:rPr>
                <w:rFonts w:eastAsia="宋体" w:cs="仿宋_GB2312"/>
                <w:b/>
                <w:sz w:val="20"/>
                <w:szCs w:val="20"/>
              </w:rPr>
            </w:pPr>
            <w:r>
              <w:rPr>
                <w:rFonts w:eastAsia="宋体" w:cs="仿宋_GB2312" w:hint="eastAsia"/>
                <w:b/>
                <w:sz w:val="20"/>
                <w:szCs w:val="20"/>
              </w:rPr>
              <w:t>备注</w:t>
            </w:r>
          </w:p>
        </w:tc>
      </w:tr>
      <w:tr w:rsidR="00C13D7A">
        <w:trPr>
          <w:trHeight w:val="1772"/>
        </w:trPr>
        <w:tc>
          <w:tcPr>
            <w:tcW w:w="1838" w:type="dxa"/>
            <w:vAlign w:val="center"/>
          </w:tcPr>
          <w:p w:rsidR="00C13D7A" w:rsidRDefault="00933E15">
            <w:pPr>
              <w:pStyle w:val="Af6"/>
              <w:spacing w:beforeLines="50" w:before="156" w:afterLines="50" w:after="156" w:line="400" w:lineRule="exact"/>
              <w:rPr>
                <w:rFonts w:ascii="仿宋_GB2312" w:eastAsia="仿宋_GB2312" w:hAnsi="宋体" w:cs="仿宋_GB2312"/>
                <w:color w:val="auto"/>
                <w:lang w:val="zh-TW"/>
              </w:rPr>
            </w:pPr>
            <w:r>
              <w:rPr>
                <w:rFonts w:ascii="仿宋_GB2312" w:eastAsia="仿宋_GB2312" w:hAnsi="宋体" w:cs="仿宋_GB2312" w:hint="eastAsia"/>
                <w:color w:val="auto"/>
              </w:rPr>
              <w:t>《浙江德清农村商业银行股份有限公司绿色信贷授信管理办法（试</w:t>
            </w:r>
            <w:r>
              <w:rPr>
                <w:rFonts w:ascii="仿宋_GB2312" w:eastAsia="仿宋_GB2312" w:hAnsi="宋体" w:cs="仿宋_GB2312" w:hint="eastAsia"/>
                <w:color w:val="auto"/>
              </w:rPr>
              <w:lastRenderedPageBreak/>
              <w:t>行）》</w:t>
            </w:r>
          </w:p>
        </w:tc>
        <w:tc>
          <w:tcPr>
            <w:tcW w:w="1372" w:type="dxa"/>
            <w:vAlign w:val="center"/>
          </w:tcPr>
          <w:p w:rsidR="00C13D7A" w:rsidRDefault="00933E15">
            <w:pPr>
              <w:pStyle w:val="Af6"/>
              <w:spacing w:beforeLines="50" w:before="156" w:afterLines="50" w:after="156" w:line="400" w:lineRule="exact"/>
              <w:rPr>
                <w:rFonts w:ascii="仿宋_GB2312" w:eastAsia="仿宋_GB2312" w:hAnsi="宋体" w:cs="仿宋_GB2312"/>
                <w:color w:val="auto"/>
                <w:lang w:val="zh-TW"/>
              </w:rPr>
            </w:pPr>
            <w:r>
              <w:rPr>
                <w:rFonts w:ascii="仿宋_GB2312" w:eastAsia="仿宋_GB2312" w:hAnsi="宋体" w:cs="仿宋_GB2312" w:hint="eastAsia"/>
                <w:color w:val="auto"/>
                <w:lang w:val="zh-TW"/>
              </w:rPr>
              <w:lastRenderedPageBreak/>
              <w:t>德农商银〔2022〕379号</w:t>
            </w:r>
          </w:p>
        </w:tc>
        <w:tc>
          <w:tcPr>
            <w:tcW w:w="896" w:type="dxa"/>
            <w:vAlign w:val="center"/>
          </w:tcPr>
          <w:p w:rsidR="00C13D7A" w:rsidRDefault="00933E15">
            <w:pPr>
              <w:pStyle w:val="Af6"/>
              <w:spacing w:beforeLines="50" w:before="156" w:afterLines="50" w:after="156" w:line="400" w:lineRule="exact"/>
              <w:rPr>
                <w:rFonts w:ascii="仿宋_GB2312" w:eastAsia="仿宋_GB2312" w:hAnsi="宋体" w:cs="仿宋_GB2312"/>
                <w:color w:val="auto"/>
                <w:lang w:val="zh-TW"/>
              </w:rPr>
            </w:pPr>
            <w:r>
              <w:rPr>
                <w:rFonts w:ascii="仿宋_GB2312" w:eastAsia="仿宋_GB2312" w:hAnsi="宋体" w:cs="仿宋_GB2312" w:hint="eastAsia"/>
                <w:color w:val="auto"/>
              </w:rPr>
              <w:t>文书类</w:t>
            </w:r>
          </w:p>
        </w:tc>
        <w:tc>
          <w:tcPr>
            <w:tcW w:w="3549" w:type="dxa"/>
            <w:vAlign w:val="center"/>
          </w:tcPr>
          <w:p w:rsidR="00C13D7A" w:rsidRDefault="00933E15">
            <w:pPr>
              <w:pStyle w:val="Af6"/>
              <w:snapToGrid w:val="0"/>
              <w:spacing w:line="400" w:lineRule="exact"/>
              <w:ind w:firstLineChars="200" w:firstLine="420"/>
              <w:rPr>
                <w:rFonts w:ascii="仿宋_GB2312" w:eastAsia="仿宋_GB2312" w:hAnsi="宋体" w:cs="仿宋_GB2312"/>
                <w:color w:val="auto"/>
                <w:lang w:val="zh-TW"/>
              </w:rPr>
            </w:pPr>
            <w:r>
              <w:rPr>
                <w:rFonts w:ascii="仿宋_GB2312" w:eastAsia="仿宋_GB2312" w:hAnsi="宋体" w:cs="仿宋_GB2312" w:hint="eastAsia"/>
                <w:color w:val="auto"/>
              </w:rPr>
              <w:t>将信贷客户是否符合产业政策、环境监测标准、生态保护、安全生产等合</w:t>
            </w:r>
            <w:proofErr w:type="gramStart"/>
            <w:r>
              <w:rPr>
                <w:rFonts w:ascii="仿宋_GB2312" w:eastAsia="仿宋_GB2312" w:hAnsi="宋体" w:cs="仿宋_GB2312" w:hint="eastAsia"/>
                <w:color w:val="auto"/>
              </w:rPr>
              <w:t>规</w:t>
            </w:r>
            <w:proofErr w:type="gramEnd"/>
            <w:r>
              <w:rPr>
                <w:rFonts w:ascii="仿宋_GB2312" w:eastAsia="仿宋_GB2312" w:hAnsi="宋体" w:cs="仿宋_GB2312" w:hint="eastAsia"/>
                <w:color w:val="auto"/>
              </w:rPr>
              <w:t>守法情况作为授信准入管理的重要前提条件，提出加强绿色授信业务指导，组织开展授信管理工作，</w:t>
            </w:r>
            <w:r>
              <w:rPr>
                <w:rFonts w:ascii="仿宋_GB2312" w:eastAsia="仿宋_GB2312" w:hAnsi="宋体" w:cs="仿宋_GB2312" w:hint="eastAsia"/>
                <w:color w:val="auto"/>
              </w:rPr>
              <w:lastRenderedPageBreak/>
              <w:t>提示辖内主要环境和社会风险，做好贷后管理，实施绿色信贷检查、内部审计督促，进行风险防范等内容。</w:t>
            </w:r>
          </w:p>
        </w:tc>
        <w:tc>
          <w:tcPr>
            <w:tcW w:w="851" w:type="dxa"/>
            <w:vAlign w:val="center"/>
          </w:tcPr>
          <w:p w:rsidR="00C13D7A" w:rsidRDefault="00C13D7A">
            <w:pPr>
              <w:pStyle w:val="Af6"/>
              <w:spacing w:beforeLines="50" w:before="156" w:afterLines="50" w:after="156" w:line="400" w:lineRule="exact"/>
              <w:rPr>
                <w:rFonts w:ascii="仿宋_GB2312" w:eastAsia="仿宋_GB2312" w:hAnsi="宋体" w:cs="仿宋_GB2312"/>
                <w:color w:val="auto"/>
                <w:lang w:val="zh-TW"/>
              </w:rPr>
            </w:pPr>
          </w:p>
        </w:tc>
      </w:tr>
      <w:tr w:rsidR="00C13D7A">
        <w:trPr>
          <w:trHeight w:val="1772"/>
        </w:trPr>
        <w:tc>
          <w:tcPr>
            <w:tcW w:w="1838" w:type="dxa"/>
            <w:vAlign w:val="center"/>
          </w:tcPr>
          <w:p w:rsidR="00C13D7A" w:rsidRDefault="00933E15">
            <w:pPr>
              <w:pStyle w:val="Af6"/>
              <w:spacing w:beforeLines="50" w:before="156" w:afterLines="50" w:after="156" w:line="400" w:lineRule="exact"/>
              <w:rPr>
                <w:rFonts w:ascii="仿宋_GB2312" w:eastAsia="仿宋_GB2312" w:hAnsi="宋体" w:cs="仿宋_GB2312"/>
                <w:color w:val="auto"/>
                <w:lang w:val="zh-TW"/>
              </w:rPr>
            </w:pPr>
            <w:r>
              <w:rPr>
                <w:rFonts w:ascii="仿宋_GB2312" w:eastAsia="仿宋_GB2312" w:hAnsi="宋体" w:cs="仿宋_GB2312" w:hint="eastAsia"/>
                <w:color w:val="auto"/>
                <w:lang w:val="zh-TW"/>
              </w:rPr>
              <w:t>《浙江德清农村商业银行股份有限公司绿色贷款利率定价管理办法（试行）》</w:t>
            </w:r>
          </w:p>
        </w:tc>
        <w:tc>
          <w:tcPr>
            <w:tcW w:w="1372" w:type="dxa"/>
            <w:vAlign w:val="center"/>
          </w:tcPr>
          <w:p w:rsidR="00C13D7A" w:rsidRDefault="00933E15">
            <w:pPr>
              <w:pStyle w:val="Af6"/>
              <w:spacing w:beforeLines="50" w:before="156" w:afterLines="50" w:after="156" w:line="400" w:lineRule="exact"/>
              <w:rPr>
                <w:rFonts w:ascii="仿宋_GB2312" w:eastAsia="仿宋_GB2312" w:hAnsi="宋体" w:cs="仿宋_GB2312"/>
                <w:color w:val="auto"/>
                <w:lang w:val="zh-TW"/>
              </w:rPr>
            </w:pPr>
            <w:r>
              <w:rPr>
                <w:rFonts w:ascii="仿宋_GB2312" w:eastAsia="仿宋_GB2312" w:hAnsi="宋体" w:cs="仿宋_GB2312" w:hint="eastAsia"/>
                <w:color w:val="auto"/>
                <w:lang w:val="zh-TW"/>
              </w:rPr>
              <w:t>德农商银〔2022〕378号</w:t>
            </w:r>
          </w:p>
        </w:tc>
        <w:tc>
          <w:tcPr>
            <w:tcW w:w="896" w:type="dxa"/>
            <w:vAlign w:val="center"/>
          </w:tcPr>
          <w:p w:rsidR="00C13D7A" w:rsidRDefault="00933E15">
            <w:pPr>
              <w:pStyle w:val="Af6"/>
              <w:spacing w:beforeLines="50" w:before="156" w:afterLines="50" w:after="156" w:line="400" w:lineRule="exact"/>
              <w:rPr>
                <w:rFonts w:ascii="仿宋_GB2312" w:eastAsia="仿宋_GB2312" w:hAnsi="宋体" w:cs="仿宋_GB2312"/>
                <w:color w:val="auto"/>
                <w:lang w:val="zh-TW"/>
              </w:rPr>
            </w:pPr>
            <w:r>
              <w:rPr>
                <w:rFonts w:ascii="仿宋_GB2312" w:eastAsia="仿宋_GB2312" w:hAnsi="宋体" w:cs="仿宋_GB2312" w:hint="eastAsia"/>
                <w:color w:val="auto"/>
              </w:rPr>
              <w:t>文书类</w:t>
            </w:r>
          </w:p>
        </w:tc>
        <w:tc>
          <w:tcPr>
            <w:tcW w:w="3549" w:type="dxa"/>
            <w:vAlign w:val="center"/>
          </w:tcPr>
          <w:p w:rsidR="00C13D7A" w:rsidRDefault="00933E15">
            <w:pPr>
              <w:pStyle w:val="Af6"/>
              <w:snapToGrid w:val="0"/>
              <w:spacing w:line="400" w:lineRule="exact"/>
              <w:rPr>
                <w:rFonts w:ascii="仿宋_GB2312" w:eastAsia="仿宋_GB2312" w:hAnsi="宋体" w:cs="仿宋_GB2312"/>
                <w:color w:val="auto"/>
              </w:rPr>
            </w:pPr>
            <w:r>
              <w:rPr>
                <w:rFonts w:ascii="仿宋_GB2312" w:eastAsia="仿宋_GB2312" w:hAnsi="宋体" w:cs="仿宋_GB2312" w:hint="eastAsia"/>
                <w:color w:val="auto"/>
              </w:rPr>
              <w:t xml:space="preserve">    在本行贷款利率定价管理办法的基础上，依据深绿、中绿、浅绿、非绿等分类贴标指标采取的特定利率定价方法。完善差异化的利率定价机制，切实增强绿色贷款的服务与管理能力。</w:t>
            </w:r>
          </w:p>
        </w:tc>
        <w:tc>
          <w:tcPr>
            <w:tcW w:w="851" w:type="dxa"/>
            <w:vAlign w:val="center"/>
          </w:tcPr>
          <w:p w:rsidR="00C13D7A" w:rsidRDefault="00C13D7A">
            <w:pPr>
              <w:pStyle w:val="Af6"/>
              <w:spacing w:beforeLines="50" w:before="156" w:afterLines="50" w:after="156" w:line="400" w:lineRule="exact"/>
              <w:rPr>
                <w:rFonts w:ascii="仿宋_GB2312" w:eastAsia="仿宋_GB2312" w:hAnsi="宋体" w:cs="仿宋_GB2312"/>
                <w:color w:val="auto"/>
                <w:lang w:val="zh-TW"/>
              </w:rPr>
            </w:pPr>
          </w:p>
        </w:tc>
      </w:tr>
      <w:tr w:rsidR="00C13D7A">
        <w:trPr>
          <w:trHeight w:val="515"/>
        </w:trPr>
        <w:tc>
          <w:tcPr>
            <w:tcW w:w="1838" w:type="dxa"/>
            <w:vAlign w:val="center"/>
          </w:tcPr>
          <w:p w:rsidR="00C13D7A" w:rsidRDefault="00933E15">
            <w:pPr>
              <w:pStyle w:val="Af6"/>
              <w:spacing w:beforeLines="50" w:before="156" w:afterLines="50" w:after="156" w:line="400" w:lineRule="exact"/>
              <w:rPr>
                <w:rFonts w:ascii="仿宋_GB2312" w:eastAsia="仿宋_GB2312" w:hAnsi="宋体" w:cs="仿宋_GB2312"/>
                <w:color w:val="auto"/>
                <w:lang w:val="zh-TW"/>
              </w:rPr>
            </w:pPr>
            <w:r>
              <w:rPr>
                <w:rFonts w:ascii="仿宋_GB2312" w:eastAsia="仿宋_GB2312" w:hAnsi="宋体" w:cs="仿宋_GB2312" w:hint="eastAsia"/>
                <w:color w:val="auto"/>
              </w:rPr>
              <w:t>《浙江德清农村商业银行股份有限公司绿色金融发展委员会工作细则》</w:t>
            </w:r>
          </w:p>
        </w:tc>
        <w:tc>
          <w:tcPr>
            <w:tcW w:w="1372" w:type="dxa"/>
            <w:vAlign w:val="center"/>
          </w:tcPr>
          <w:p w:rsidR="00C13D7A" w:rsidRDefault="00933E15">
            <w:pPr>
              <w:pStyle w:val="Af6"/>
              <w:spacing w:beforeLines="50" w:before="156" w:afterLines="50" w:after="156" w:line="400" w:lineRule="exact"/>
              <w:rPr>
                <w:rFonts w:ascii="仿宋_GB2312" w:eastAsia="仿宋_GB2312" w:hAnsi="宋体" w:cs="仿宋_GB2312"/>
                <w:color w:val="auto"/>
                <w:lang w:val="zh-TW"/>
              </w:rPr>
            </w:pPr>
            <w:r>
              <w:rPr>
                <w:rFonts w:ascii="仿宋_GB2312" w:eastAsia="仿宋_GB2312" w:hAnsi="宋体" w:cs="仿宋_GB2312" w:hint="eastAsia"/>
                <w:color w:val="auto"/>
              </w:rPr>
              <w:t>德农商银办〔2018〕148号</w:t>
            </w:r>
          </w:p>
        </w:tc>
        <w:tc>
          <w:tcPr>
            <w:tcW w:w="896" w:type="dxa"/>
            <w:vAlign w:val="center"/>
          </w:tcPr>
          <w:p w:rsidR="00C13D7A" w:rsidRDefault="00933E15">
            <w:pPr>
              <w:pStyle w:val="Af6"/>
              <w:spacing w:beforeLines="50" w:before="156" w:afterLines="50" w:after="156" w:line="400" w:lineRule="exact"/>
              <w:rPr>
                <w:rFonts w:ascii="仿宋_GB2312" w:eastAsia="仿宋_GB2312" w:hAnsi="宋体" w:cs="仿宋_GB2312"/>
                <w:color w:val="auto"/>
                <w:lang w:val="zh-TW"/>
              </w:rPr>
            </w:pPr>
            <w:r>
              <w:rPr>
                <w:rFonts w:ascii="仿宋_GB2312" w:eastAsia="仿宋_GB2312" w:hAnsi="宋体" w:cs="仿宋_GB2312" w:hint="eastAsia"/>
                <w:color w:val="auto"/>
              </w:rPr>
              <w:t>文书类</w:t>
            </w:r>
          </w:p>
        </w:tc>
        <w:tc>
          <w:tcPr>
            <w:tcW w:w="3549" w:type="dxa"/>
            <w:vAlign w:val="center"/>
          </w:tcPr>
          <w:p w:rsidR="00C13D7A" w:rsidRDefault="00933E15">
            <w:pPr>
              <w:pStyle w:val="Af6"/>
              <w:snapToGrid w:val="0"/>
              <w:spacing w:line="400" w:lineRule="exact"/>
              <w:ind w:firstLineChars="200" w:firstLine="420"/>
              <w:rPr>
                <w:rFonts w:ascii="仿宋_GB2312" w:eastAsia="仿宋_GB2312" w:hAnsi="宋体" w:cs="仿宋_GB2312"/>
                <w:color w:val="auto"/>
              </w:rPr>
            </w:pPr>
            <w:r>
              <w:rPr>
                <w:rFonts w:ascii="仿宋_GB2312" w:eastAsia="仿宋_GB2312" w:hAnsi="宋体" w:cs="仿宋_GB2312" w:hint="eastAsia"/>
                <w:color w:val="auto"/>
              </w:rPr>
              <w:t>新成立委员会，主要负责拟定本行绿色金融发展战略规划、政策、基本管理制度及其他有关绿色金融发展的重大事项；监督本行绿色金融发展战略规划、政策和基本管理制度的落实，对绿色金融发展效果进行评估，并向董事会提出建议。</w:t>
            </w:r>
          </w:p>
        </w:tc>
        <w:tc>
          <w:tcPr>
            <w:tcW w:w="851" w:type="dxa"/>
            <w:vAlign w:val="center"/>
          </w:tcPr>
          <w:p w:rsidR="00C13D7A" w:rsidRDefault="00C13D7A">
            <w:pPr>
              <w:pStyle w:val="Af6"/>
              <w:spacing w:beforeLines="50" w:before="156" w:afterLines="50" w:after="156" w:line="400" w:lineRule="exact"/>
              <w:rPr>
                <w:rFonts w:ascii="仿宋_GB2312" w:eastAsia="仿宋_GB2312" w:hAnsi="宋体" w:cs="仿宋_GB2312"/>
                <w:color w:val="auto"/>
                <w:lang w:val="zh-TW"/>
              </w:rPr>
            </w:pPr>
          </w:p>
        </w:tc>
      </w:tr>
      <w:tr w:rsidR="00C13D7A">
        <w:trPr>
          <w:trHeight w:val="516"/>
        </w:trPr>
        <w:tc>
          <w:tcPr>
            <w:tcW w:w="1838" w:type="dxa"/>
            <w:vAlign w:val="center"/>
          </w:tcPr>
          <w:p w:rsidR="00C13D7A" w:rsidRDefault="00933E15">
            <w:pPr>
              <w:pStyle w:val="Af6"/>
              <w:spacing w:beforeLines="50" w:before="156" w:afterLines="50" w:after="156" w:line="400" w:lineRule="exact"/>
              <w:rPr>
                <w:rFonts w:ascii="仿宋_GB2312" w:eastAsia="仿宋_GB2312" w:hAnsi="宋体" w:cs="仿宋_GB2312"/>
                <w:color w:val="auto"/>
                <w:lang w:val="zh-TW"/>
              </w:rPr>
            </w:pPr>
            <w:r>
              <w:rPr>
                <w:rFonts w:ascii="仿宋_GB2312" w:eastAsia="仿宋_GB2312" w:hAnsi="宋体" w:cs="仿宋_GB2312" w:hint="eastAsia"/>
                <w:color w:val="auto"/>
              </w:rPr>
              <w:t>《浙江德清农村商业银行股份有限公司绿色信贷分类管理办法（试行）》</w:t>
            </w:r>
          </w:p>
        </w:tc>
        <w:tc>
          <w:tcPr>
            <w:tcW w:w="1372" w:type="dxa"/>
            <w:vAlign w:val="center"/>
          </w:tcPr>
          <w:p w:rsidR="00C13D7A" w:rsidRDefault="00933E15">
            <w:pPr>
              <w:pStyle w:val="Af6"/>
              <w:spacing w:beforeLines="50" w:before="156" w:afterLines="50" w:after="156" w:line="400" w:lineRule="exact"/>
              <w:rPr>
                <w:rFonts w:ascii="仿宋_GB2312" w:eastAsia="仿宋_GB2312" w:hAnsi="宋体" w:cs="仿宋_GB2312"/>
                <w:color w:val="auto"/>
                <w:lang w:val="zh-TW"/>
              </w:rPr>
            </w:pPr>
            <w:r>
              <w:rPr>
                <w:rFonts w:ascii="仿宋_GB2312" w:eastAsia="仿宋_GB2312" w:hAnsi="宋体" w:cs="仿宋_GB2312" w:hint="eastAsia"/>
                <w:color w:val="auto"/>
              </w:rPr>
              <w:t>德农商银〔2020〕434号</w:t>
            </w:r>
          </w:p>
        </w:tc>
        <w:tc>
          <w:tcPr>
            <w:tcW w:w="896" w:type="dxa"/>
            <w:vAlign w:val="center"/>
          </w:tcPr>
          <w:p w:rsidR="00C13D7A" w:rsidRDefault="00933E15">
            <w:pPr>
              <w:pStyle w:val="Af6"/>
              <w:spacing w:beforeLines="50" w:before="156" w:afterLines="50" w:after="156" w:line="400" w:lineRule="exact"/>
              <w:rPr>
                <w:rFonts w:ascii="仿宋_GB2312" w:eastAsia="仿宋_GB2312" w:hAnsi="宋体" w:cs="仿宋_GB2312"/>
                <w:color w:val="auto"/>
                <w:lang w:val="zh-TW"/>
              </w:rPr>
            </w:pPr>
            <w:r>
              <w:rPr>
                <w:rFonts w:ascii="仿宋_GB2312" w:eastAsia="仿宋_GB2312" w:hAnsi="宋体" w:cs="仿宋_GB2312" w:hint="eastAsia"/>
                <w:color w:val="auto"/>
              </w:rPr>
              <w:t>文书类</w:t>
            </w:r>
          </w:p>
        </w:tc>
        <w:tc>
          <w:tcPr>
            <w:tcW w:w="3549" w:type="dxa"/>
            <w:vAlign w:val="center"/>
          </w:tcPr>
          <w:p w:rsidR="00C13D7A" w:rsidRDefault="00933E15">
            <w:pPr>
              <w:pStyle w:val="Af6"/>
              <w:snapToGrid w:val="0"/>
              <w:spacing w:line="400" w:lineRule="exact"/>
              <w:rPr>
                <w:rFonts w:ascii="仿宋_GB2312" w:eastAsia="仿宋_GB2312" w:hAnsi="宋体" w:cs="仿宋_GB2312"/>
                <w:color w:val="auto"/>
                <w:highlight w:val="yellow"/>
              </w:rPr>
            </w:pPr>
            <w:r>
              <w:rPr>
                <w:rFonts w:ascii="仿宋_GB2312" w:eastAsia="仿宋_GB2312" w:hAnsi="宋体" w:cs="仿宋_GB2312" w:hint="eastAsia"/>
                <w:color w:val="auto"/>
              </w:rPr>
              <w:t>依据授信客户或项目对环境和社会表现的优劣，对企业授信客户全部信贷资产分为四类，具体包括：绿色友好类、蓝色基础类、橙色关注类、红色退出类；明确目标，规范流程，积极优化信贷资产结构，提升环境与社会风险识别及防范能力。</w:t>
            </w:r>
          </w:p>
        </w:tc>
        <w:tc>
          <w:tcPr>
            <w:tcW w:w="851" w:type="dxa"/>
            <w:vAlign w:val="center"/>
          </w:tcPr>
          <w:p w:rsidR="00C13D7A" w:rsidRDefault="00C13D7A">
            <w:pPr>
              <w:pStyle w:val="Af6"/>
              <w:spacing w:beforeLines="50" w:before="156" w:afterLines="50" w:after="156" w:line="400" w:lineRule="exact"/>
              <w:rPr>
                <w:rFonts w:ascii="仿宋_GB2312" w:eastAsia="仿宋_GB2312" w:hAnsi="宋体" w:cs="仿宋_GB2312"/>
                <w:color w:val="auto"/>
                <w:lang w:val="zh-TW"/>
              </w:rPr>
            </w:pPr>
          </w:p>
        </w:tc>
      </w:tr>
      <w:tr w:rsidR="00C13D7A">
        <w:trPr>
          <w:trHeight w:val="2130"/>
        </w:trPr>
        <w:tc>
          <w:tcPr>
            <w:tcW w:w="1838" w:type="dxa"/>
            <w:vAlign w:val="center"/>
          </w:tcPr>
          <w:p w:rsidR="00C13D7A" w:rsidRDefault="00933E15">
            <w:pPr>
              <w:pStyle w:val="Af6"/>
              <w:spacing w:beforeLines="50" w:before="156" w:afterLines="50" w:after="156" w:line="400" w:lineRule="exact"/>
              <w:rPr>
                <w:rFonts w:ascii="仿宋_GB2312" w:eastAsia="仿宋_GB2312" w:hAnsi="宋体" w:cs="仿宋_GB2312"/>
                <w:color w:val="auto"/>
              </w:rPr>
            </w:pPr>
            <w:r>
              <w:rPr>
                <w:rFonts w:ascii="仿宋_GB2312" w:eastAsia="仿宋_GB2312" w:hAnsi="宋体" w:cs="仿宋_GB2312" w:hint="eastAsia"/>
                <w:color w:val="auto"/>
              </w:rPr>
              <w:t>《浙江德清农村商业银行股份有限公司转型金融贷款利率定价管理办法（试行）》</w:t>
            </w:r>
          </w:p>
        </w:tc>
        <w:tc>
          <w:tcPr>
            <w:tcW w:w="1372" w:type="dxa"/>
            <w:vAlign w:val="center"/>
          </w:tcPr>
          <w:p w:rsidR="00C13D7A" w:rsidRDefault="00933E15">
            <w:pPr>
              <w:pStyle w:val="Af6"/>
              <w:spacing w:beforeLines="50" w:before="156" w:afterLines="50" w:after="156" w:line="400" w:lineRule="exact"/>
              <w:rPr>
                <w:rFonts w:ascii="仿宋_GB2312" w:eastAsia="仿宋_GB2312" w:hAnsi="宋体" w:cs="仿宋_GB2312"/>
                <w:color w:val="auto"/>
              </w:rPr>
            </w:pPr>
            <w:r>
              <w:rPr>
                <w:rFonts w:ascii="仿宋_GB2312" w:eastAsia="仿宋_GB2312" w:hAnsi="宋体" w:cs="仿宋_GB2312" w:hint="eastAsia"/>
                <w:color w:val="auto"/>
                <w:lang w:val="zh-TW"/>
              </w:rPr>
              <w:t>德农商银〔2022〕</w:t>
            </w:r>
            <w:r>
              <w:rPr>
                <w:rFonts w:ascii="仿宋_GB2312" w:eastAsia="PMingLiU" w:hAnsi="宋体" w:cs="仿宋_GB2312"/>
                <w:color w:val="auto"/>
                <w:lang w:val="zh-TW" w:eastAsia="zh-TW"/>
              </w:rPr>
              <w:t>380</w:t>
            </w:r>
            <w:r>
              <w:rPr>
                <w:rFonts w:ascii="仿宋_GB2312" w:eastAsia="仿宋_GB2312" w:hAnsi="宋体" w:cs="仿宋_GB2312" w:hint="eastAsia"/>
                <w:color w:val="auto"/>
                <w:lang w:val="zh-TW"/>
              </w:rPr>
              <w:t>号</w:t>
            </w:r>
          </w:p>
        </w:tc>
        <w:tc>
          <w:tcPr>
            <w:tcW w:w="896" w:type="dxa"/>
            <w:vAlign w:val="center"/>
          </w:tcPr>
          <w:p w:rsidR="00C13D7A" w:rsidRDefault="00933E15">
            <w:pPr>
              <w:pStyle w:val="Af6"/>
              <w:spacing w:beforeLines="50" w:before="156" w:afterLines="50" w:after="156" w:line="400" w:lineRule="exact"/>
              <w:rPr>
                <w:rFonts w:ascii="仿宋_GB2312" w:eastAsia="仿宋_GB2312" w:hAnsi="宋体" w:cs="仿宋_GB2312"/>
                <w:color w:val="auto"/>
              </w:rPr>
            </w:pPr>
            <w:r>
              <w:rPr>
                <w:rFonts w:ascii="仿宋_GB2312" w:eastAsia="仿宋_GB2312" w:hAnsi="宋体" w:cs="仿宋_GB2312" w:hint="eastAsia"/>
                <w:color w:val="auto"/>
              </w:rPr>
              <w:t>文书类</w:t>
            </w:r>
          </w:p>
        </w:tc>
        <w:tc>
          <w:tcPr>
            <w:tcW w:w="3549" w:type="dxa"/>
            <w:vAlign w:val="center"/>
          </w:tcPr>
          <w:p w:rsidR="00C13D7A" w:rsidRDefault="00933E15">
            <w:pPr>
              <w:pStyle w:val="Af6"/>
              <w:snapToGrid w:val="0"/>
              <w:spacing w:line="400" w:lineRule="exact"/>
              <w:ind w:firstLineChars="200" w:firstLine="420"/>
              <w:rPr>
                <w:rFonts w:ascii="仿宋_GB2312" w:eastAsia="仿宋_GB2312" w:hAnsi="宋体" w:cs="仿宋_GB2312"/>
                <w:color w:val="auto"/>
              </w:rPr>
            </w:pPr>
            <w:r>
              <w:rPr>
                <w:rFonts w:ascii="仿宋_GB2312" w:eastAsia="仿宋_GB2312" w:hAnsi="宋体" w:cs="仿宋_GB2312" w:hint="eastAsia"/>
                <w:color w:val="auto"/>
              </w:rPr>
              <w:t>在本行贷款利率定价管理办法的基础上，依据转型</w:t>
            </w:r>
            <w:proofErr w:type="gramStart"/>
            <w:r>
              <w:rPr>
                <w:rFonts w:ascii="仿宋_GB2312" w:eastAsia="仿宋_GB2312" w:hAnsi="宋体" w:cs="仿宋_GB2312" w:hint="eastAsia"/>
                <w:color w:val="auto"/>
              </w:rPr>
              <w:t>金融碳效的</w:t>
            </w:r>
            <w:proofErr w:type="gramEnd"/>
            <w:r>
              <w:rPr>
                <w:rFonts w:ascii="仿宋_GB2312" w:eastAsia="仿宋_GB2312" w:hAnsi="宋体" w:cs="仿宋_GB2312" w:hint="eastAsia"/>
                <w:color w:val="auto"/>
              </w:rPr>
              <w:t>特定利率定价方法。完善差异化的利率定价机制，切实增强绿色贷款的服务与管理能力</w:t>
            </w:r>
          </w:p>
        </w:tc>
        <w:tc>
          <w:tcPr>
            <w:tcW w:w="851" w:type="dxa"/>
            <w:vAlign w:val="center"/>
          </w:tcPr>
          <w:p w:rsidR="00C13D7A" w:rsidRDefault="00C13D7A">
            <w:pPr>
              <w:pStyle w:val="Af6"/>
              <w:spacing w:beforeLines="50" w:before="156" w:afterLines="50" w:after="156" w:line="400" w:lineRule="exact"/>
              <w:rPr>
                <w:rFonts w:ascii="仿宋_GB2312" w:eastAsia="仿宋_GB2312" w:hAnsi="宋体" w:cs="仿宋_GB2312"/>
                <w:color w:val="auto"/>
                <w:lang w:val="zh-TW"/>
              </w:rPr>
            </w:pPr>
          </w:p>
        </w:tc>
      </w:tr>
      <w:tr w:rsidR="00C13D7A">
        <w:trPr>
          <w:trHeight w:val="2130"/>
        </w:trPr>
        <w:tc>
          <w:tcPr>
            <w:tcW w:w="1838" w:type="dxa"/>
            <w:vAlign w:val="center"/>
          </w:tcPr>
          <w:p w:rsidR="00C13D7A" w:rsidRDefault="00933E15">
            <w:pPr>
              <w:pStyle w:val="Af6"/>
              <w:spacing w:beforeLines="50" w:before="156" w:afterLines="50" w:after="156" w:line="400" w:lineRule="exact"/>
              <w:rPr>
                <w:rFonts w:ascii="仿宋_GB2312" w:eastAsia="仿宋_GB2312" w:hAnsi="宋体" w:cs="仿宋_GB2312"/>
                <w:color w:val="auto"/>
              </w:rPr>
            </w:pPr>
            <w:r>
              <w:rPr>
                <w:rFonts w:ascii="仿宋_GB2312" w:eastAsia="仿宋_GB2312" w:hAnsi="宋体" w:cs="仿宋_GB2312" w:hint="eastAsia"/>
                <w:color w:val="auto"/>
              </w:rPr>
              <w:lastRenderedPageBreak/>
              <w:t>《浙江德清农村商业银行股份有限公司转型金融统计报表填报实施细则》</w:t>
            </w:r>
          </w:p>
        </w:tc>
        <w:tc>
          <w:tcPr>
            <w:tcW w:w="1372" w:type="dxa"/>
            <w:vAlign w:val="center"/>
          </w:tcPr>
          <w:p w:rsidR="00C13D7A" w:rsidRDefault="00933E15">
            <w:pPr>
              <w:pStyle w:val="Af6"/>
              <w:spacing w:beforeLines="50" w:before="156" w:afterLines="50" w:after="156" w:line="400" w:lineRule="exact"/>
              <w:rPr>
                <w:rFonts w:ascii="仿宋_GB2312" w:eastAsia="仿宋_GB2312" w:hAnsi="宋体" w:cs="仿宋_GB2312"/>
                <w:color w:val="auto"/>
              </w:rPr>
            </w:pPr>
            <w:r>
              <w:rPr>
                <w:rFonts w:ascii="仿宋_GB2312" w:eastAsia="仿宋_GB2312" w:hAnsi="宋体" w:cs="仿宋_GB2312" w:hint="eastAsia"/>
                <w:color w:val="auto"/>
                <w:lang w:val="zh-TW"/>
              </w:rPr>
              <w:t>德农商银〔2022〕</w:t>
            </w:r>
            <w:r>
              <w:rPr>
                <w:rFonts w:ascii="仿宋_GB2312" w:eastAsia="PMingLiU" w:hAnsi="宋体" w:cs="仿宋_GB2312"/>
                <w:color w:val="auto"/>
                <w:lang w:val="zh-TW" w:eastAsia="zh-TW"/>
              </w:rPr>
              <w:t>381</w:t>
            </w:r>
            <w:r>
              <w:rPr>
                <w:rFonts w:ascii="仿宋_GB2312" w:eastAsia="仿宋_GB2312" w:hAnsi="宋体" w:cs="仿宋_GB2312" w:hint="eastAsia"/>
                <w:color w:val="auto"/>
                <w:lang w:val="zh-TW"/>
              </w:rPr>
              <w:t>号</w:t>
            </w:r>
          </w:p>
        </w:tc>
        <w:tc>
          <w:tcPr>
            <w:tcW w:w="896" w:type="dxa"/>
            <w:vAlign w:val="center"/>
          </w:tcPr>
          <w:p w:rsidR="00C13D7A" w:rsidRDefault="00933E15">
            <w:pPr>
              <w:pStyle w:val="Af6"/>
              <w:spacing w:beforeLines="50" w:before="156" w:afterLines="50" w:after="156" w:line="400" w:lineRule="exact"/>
              <w:rPr>
                <w:rFonts w:ascii="仿宋_GB2312" w:eastAsia="仿宋_GB2312" w:hAnsi="宋体" w:cs="仿宋_GB2312"/>
                <w:color w:val="auto"/>
              </w:rPr>
            </w:pPr>
            <w:r>
              <w:rPr>
                <w:rFonts w:ascii="仿宋_GB2312" w:eastAsia="仿宋_GB2312" w:hAnsi="宋体" w:cs="仿宋_GB2312" w:hint="eastAsia"/>
                <w:color w:val="auto"/>
              </w:rPr>
              <w:t>文书类</w:t>
            </w:r>
          </w:p>
        </w:tc>
        <w:tc>
          <w:tcPr>
            <w:tcW w:w="3549" w:type="dxa"/>
            <w:vAlign w:val="center"/>
          </w:tcPr>
          <w:p w:rsidR="00C13D7A" w:rsidRDefault="00933E15">
            <w:pPr>
              <w:pStyle w:val="Af6"/>
              <w:snapToGrid w:val="0"/>
              <w:spacing w:line="400" w:lineRule="exact"/>
              <w:ind w:firstLineChars="200" w:firstLine="420"/>
              <w:rPr>
                <w:rFonts w:ascii="仿宋_GB2312" w:eastAsia="仿宋_GB2312" w:hAnsi="宋体" w:cs="仿宋_GB2312"/>
                <w:color w:val="auto"/>
              </w:rPr>
            </w:pPr>
            <w:r>
              <w:rPr>
                <w:rFonts w:ascii="仿宋_GB2312" w:eastAsia="仿宋_GB2312" w:hAnsi="宋体" w:cs="仿宋_GB2312" w:hint="eastAsia"/>
                <w:color w:val="auto"/>
              </w:rPr>
              <w:t>加强本行转型金融统计报表数据填报质量，规范报表报送流程。</w:t>
            </w:r>
          </w:p>
        </w:tc>
        <w:tc>
          <w:tcPr>
            <w:tcW w:w="851" w:type="dxa"/>
            <w:vAlign w:val="center"/>
          </w:tcPr>
          <w:p w:rsidR="00C13D7A" w:rsidRDefault="00C13D7A">
            <w:pPr>
              <w:pStyle w:val="Af6"/>
              <w:spacing w:beforeLines="50" w:before="156" w:afterLines="50" w:after="156" w:line="400" w:lineRule="exact"/>
              <w:rPr>
                <w:rFonts w:ascii="仿宋_GB2312" w:eastAsia="仿宋_GB2312" w:hAnsi="宋体" w:cs="仿宋_GB2312"/>
                <w:color w:val="auto"/>
                <w:lang w:val="zh-TW"/>
              </w:rPr>
            </w:pPr>
          </w:p>
        </w:tc>
      </w:tr>
      <w:tr w:rsidR="00C13D7A">
        <w:trPr>
          <w:trHeight w:val="2130"/>
        </w:trPr>
        <w:tc>
          <w:tcPr>
            <w:tcW w:w="1838" w:type="dxa"/>
            <w:vAlign w:val="center"/>
          </w:tcPr>
          <w:p w:rsidR="00C13D7A" w:rsidRDefault="00933E15">
            <w:pPr>
              <w:pStyle w:val="Af6"/>
              <w:spacing w:beforeLines="50" w:before="156" w:afterLines="50" w:after="156" w:line="400" w:lineRule="exact"/>
              <w:rPr>
                <w:rFonts w:ascii="仿宋_GB2312" w:eastAsia="仿宋_GB2312" w:hAnsi="宋体" w:cs="仿宋_GB2312"/>
                <w:color w:val="auto"/>
              </w:rPr>
            </w:pPr>
            <w:r>
              <w:rPr>
                <w:rFonts w:ascii="仿宋_GB2312" w:eastAsia="仿宋_GB2312" w:hAnsi="宋体" w:cs="仿宋_GB2312" w:hint="eastAsia"/>
                <w:color w:val="auto"/>
              </w:rPr>
              <w:t>《浙江德清农村商业银行股份有限公司转型金融信贷授信管理办法（试行）》</w:t>
            </w:r>
          </w:p>
        </w:tc>
        <w:tc>
          <w:tcPr>
            <w:tcW w:w="1372" w:type="dxa"/>
            <w:vAlign w:val="center"/>
          </w:tcPr>
          <w:p w:rsidR="00C13D7A" w:rsidRDefault="00933E15">
            <w:pPr>
              <w:pStyle w:val="Af6"/>
              <w:spacing w:beforeLines="50" w:before="156" w:afterLines="50" w:after="156" w:line="400" w:lineRule="exact"/>
              <w:rPr>
                <w:rFonts w:ascii="仿宋_GB2312" w:eastAsia="仿宋_GB2312" w:hAnsi="宋体" w:cs="仿宋_GB2312"/>
                <w:color w:val="auto"/>
              </w:rPr>
            </w:pPr>
            <w:r>
              <w:rPr>
                <w:rFonts w:ascii="仿宋_GB2312" w:eastAsia="仿宋_GB2312" w:hAnsi="宋体" w:cs="仿宋_GB2312" w:hint="eastAsia"/>
                <w:color w:val="auto"/>
                <w:lang w:val="zh-TW"/>
              </w:rPr>
              <w:t>德农商银〔2022〕</w:t>
            </w:r>
            <w:r>
              <w:rPr>
                <w:rFonts w:ascii="仿宋_GB2312" w:eastAsia="PMingLiU" w:hAnsi="宋体" w:cs="仿宋_GB2312"/>
                <w:color w:val="auto"/>
                <w:lang w:val="zh-TW" w:eastAsia="zh-TW"/>
              </w:rPr>
              <w:t>382</w:t>
            </w:r>
            <w:r>
              <w:rPr>
                <w:rFonts w:ascii="仿宋_GB2312" w:eastAsia="仿宋_GB2312" w:hAnsi="宋体" w:cs="仿宋_GB2312" w:hint="eastAsia"/>
                <w:color w:val="auto"/>
                <w:lang w:val="zh-TW"/>
              </w:rPr>
              <w:t>号</w:t>
            </w:r>
          </w:p>
        </w:tc>
        <w:tc>
          <w:tcPr>
            <w:tcW w:w="896" w:type="dxa"/>
            <w:vAlign w:val="center"/>
          </w:tcPr>
          <w:p w:rsidR="00C13D7A" w:rsidRDefault="00933E15">
            <w:pPr>
              <w:pStyle w:val="Af6"/>
              <w:spacing w:beforeLines="50" w:before="156" w:afterLines="50" w:after="156" w:line="400" w:lineRule="exact"/>
              <w:rPr>
                <w:rFonts w:ascii="仿宋_GB2312" w:eastAsia="仿宋_GB2312" w:hAnsi="宋体" w:cs="仿宋_GB2312"/>
                <w:color w:val="auto"/>
              </w:rPr>
            </w:pPr>
            <w:r>
              <w:rPr>
                <w:rFonts w:ascii="仿宋_GB2312" w:eastAsia="仿宋_GB2312" w:hAnsi="宋体" w:cs="仿宋_GB2312" w:hint="eastAsia"/>
                <w:color w:val="auto"/>
              </w:rPr>
              <w:t>文书类</w:t>
            </w:r>
          </w:p>
        </w:tc>
        <w:tc>
          <w:tcPr>
            <w:tcW w:w="3549" w:type="dxa"/>
            <w:vAlign w:val="center"/>
          </w:tcPr>
          <w:p w:rsidR="00C13D7A" w:rsidRDefault="00933E15">
            <w:pPr>
              <w:pStyle w:val="Af6"/>
              <w:snapToGrid w:val="0"/>
              <w:spacing w:line="400" w:lineRule="exact"/>
              <w:ind w:firstLineChars="200" w:firstLine="420"/>
              <w:rPr>
                <w:rFonts w:ascii="仿宋_GB2312" w:eastAsia="仿宋_GB2312" w:hAnsi="宋体" w:cs="仿宋_GB2312"/>
                <w:color w:val="auto"/>
              </w:rPr>
            </w:pPr>
            <w:r>
              <w:rPr>
                <w:rFonts w:ascii="仿宋_GB2312" w:eastAsia="仿宋_GB2312" w:hAnsi="宋体" w:cs="仿宋_GB2312" w:hint="eastAsia"/>
                <w:color w:val="auto"/>
              </w:rPr>
              <w:t>将转型金融相关信贷客户是否符合产业政策、环境监测标准、生态保护、安全生产等合</w:t>
            </w:r>
            <w:proofErr w:type="gramStart"/>
            <w:r>
              <w:rPr>
                <w:rFonts w:ascii="仿宋_GB2312" w:eastAsia="仿宋_GB2312" w:hAnsi="宋体" w:cs="仿宋_GB2312" w:hint="eastAsia"/>
                <w:color w:val="auto"/>
              </w:rPr>
              <w:t>规</w:t>
            </w:r>
            <w:proofErr w:type="gramEnd"/>
            <w:r>
              <w:rPr>
                <w:rFonts w:ascii="仿宋_GB2312" w:eastAsia="仿宋_GB2312" w:hAnsi="宋体" w:cs="仿宋_GB2312" w:hint="eastAsia"/>
                <w:color w:val="auto"/>
              </w:rPr>
              <w:t>守法情况作为授信准入管理的重要前提条件，提出加强绿色授信业务指导，组织开展授信管理工作，提示辖内主要环境和社会风险，做好贷后管理，实施绿色信贷检查、内部审计督促，进行风险防范等内容。</w:t>
            </w:r>
          </w:p>
        </w:tc>
        <w:tc>
          <w:tcPr>
            <w:tcW w:w="851" w:type="dxa"/>
            <w:vAlign w:val="center"/>
          </w:tcPr>
          <w:p w:rsidR="00C13D7A" w:rsidRDefault="00C13D7A">
            <w:pPr>
              <w:pStyle w:val="Af6"/>
              <w:spacing w:beforeLines="50" w:before="156" w:afterLines="50" w:after="156" w:line="400" w:lineRule="exact"/>
              <w:rPr>
                <w:rFonts w:ascii="仿宋_GB2312" w:eastAsia="仿宋_GB2312" w:hAnsi="宋体" w:cs="仿宋_GB2312"/>
                <w:color w:val="auto"/>
                <w:lang w:val="zh-TW"/>
              </w:rPr>
            </w:pPr>
          </w:p>
        </w:tc>
      </w:tr>
      <w:tr w:rsidR="00C13D7A">
        <w:trPr>
          <w:trHeight w:val="2130"/>
        </w:trPr>
        <w:tc>
          <w:tcPr>
            <w:tcW w:w="1838" w:type="dxa"/>
            <w:vAlign w:val="center"/>
          </w:tcPr>
          <w:p w:rsidR="00C13D7A" w:rsidRDefault="00933E15">
            <w:pPr>
              <w:pStyle w:val="Af6"/>
              <w:spacing w:beforeLines="50" w:before="156" w:afterLines="50" w:after="156" w:line="400" w:lineRule="exact"/>
              <w:rPr>
                <w:rFonts w:ascii="仿宋_GB2312" w:eastAsia="仿宋_GB2312" w:hAnsi="宋体" w:cs="仿宋_GB2312"/>
                <w:color w:val="auto"/>
              </w:rPr>
            </w:pPr>
            <w:r>
              <w:rPr>
                <w:rFonts w:ascii="仿宋_GB2312" w:eastAsia="仿宋_GB2312" w:hAnsi="宋体" w:cs="仿宋_GB2312" w:hint="eastAsia"/>
                <w:color w:val="auto"/>
              </w:rPr>
              <w:t>《浙江德清农村商业银行股份有限公司转型金融指导意见》</w:t>
            </w:r>
          </w:p>
        </w:tc>
        <w:tc>
          <w:tcPr>
            <w:tcW w:w="1372" w:type="dxa"/>
            <w:vAlign w:val="center"/>
          </w:tcPr>
          <w:p w:rsidR="00C13D7A" w:rsidRDefault="00933E15">
            <w:pPr>
              <w:pStyle w:val="Af6"/>
              <w:spacing w:beforeLines="50" w:before="156" w:afterLines="50" w:after="156" w:line="400" w:lineRule="exact"/>
              <w:rPr>
                <w:rFonts w:ascii="仿宋_GB2312" w:eastAsia="仿宋_GB2312" w:hAnsi="宋体" w:cs="仿宋_GB2312"/>
                <w:color w:val="auto"/>
                <w:lang w:val="zh-TW"/>
              </w:rPr>
            </w:pPr>
            <w:r>
              <w:rPr>
                <w:rFonts w:ascii="仿宋_GB2312" w:eastAsia="仿宋_GB2312" w:hAnsi="宋体" w:cs="仿宋_GB2312" w:hint="eastAsia"/>
                <w:color w:val="auto"/>
                <w:lang w:val="zh-TW"/>
              </w:rPr>
              <w:t>德农商银〔2022〕</w:t>
            </w:r>
            <w:r>
              <w:rPr>
                <w:rFonts w:ascii="仿宋_GB2312" w:eastAsia="PMingLiU" w:hAnsi="宋体" w:cs="仿宋_GB2312"/>
                <w:color w:val="auto"/>
                <w:lang w:val="zh-TW" w:eastAsia="zh-TW"/>
              </w:rPr>
              <w:t>383</w:t>
            </w:r>
            <w:r>
              <w:rPr>
                <w:rFonts w:ascii="仿宋_GB2312" w:eastAsia="仿宋_GB2312" w:hAnsi="宋体" w:cs="仿宋_GB2312" w:hint="eastAsia"/>
                <w:color w:val="auto"/>
                <w:lang w:val="zh-TW"/>
              </w:rPr>
              <w:t>号</w:t>
            </w:r>
          </w:p>
        </w:tc>
        <w:tc>
          <w:tcPr>
            <w:tcW w:w="896" w:type="dxa"/>
            <w:vAlign w:val="center"/>
          </w:tcPr>
          <w:p w:rsidR="00C13D7A" w:rsidRDefault="00933E15">
            <w:pPr>
              <w:pStyle w:val="Af6"/>
              <w:spacing w:beforeLines="50" w:before="156" w:afterLines="50" w:after="156" w:line="400" w:lineRule="exact"/>
              <w:rPr>
                <w:rFonts w:ascii="仿宋_GB2312" w:eastAsia="仿宋_GB2312" w:hAnsi="宋体" w:cs="仿宋_GB2312"/>
                <w:color w:val="auto"/>
              </w:rPr>
            </w:pPr>
            <w:r>
              <w:rPr>
                <w:rFonts w:ascii="仿宋_GB2312" w:eastAsia="仿宋_GB2312" w:hAnsi="宋体" w:cs="仿宋_GB2312" w:hint="eastAsia"/>
                <w:color w:val="auto"/>
              </w:rPr>
              <w:t>文书类</w:t>
            </w:r>
          </w:p>
        </w:tc>
        <w:tc>
          <w:tcPr>
            <w:tcW w:w="3549" w:type="dxa"/>
            <w:vAlign w:val="center"/>
          </w:tcPr>
          <w:p w:rsidR="00C13D7A" w:rsidRDefault="00933E15">
            <w:pPr>
              <w:pStyle w:val="Af6"/>
              <w:snapToGrid w:val="0"/>
              <w:spacing w:line="400" w:lineRule="exact"/>
              <w:ind w:firstLineChars="200" w:firstLine="420"/>
              <w:rPr>
                <w:rFonts w:ascii="仿宋_GB2312" w:eastAsia="仿宋_GB2312" w:hAnsi="宋体" w:cs="仿宋_GB2312"/>
                <w:color w:val="auto"/>
              </w:rPr>
            </w:pPr>
            <w:r>
              <w:rPr>
                <w:rFonts w:ascii="仿宋_GB2312" w:eastAsia="仿宋_GB2312" w:hAnsi="宋体" w:cs="仿宋_GB2312" w:hint="eastAsia"/>
                <w:color w:val="auto"/>
              </w:rPr>
              <w:t>根据本行绿色金融建设和“碳中和”银行中长期规划，创新构建低碳转型金融体系，为低碳转型引入低成本、长期限的金融支持，科学有序推动碳密集行业低碳转型，全面深化绿色金融转型升级，积极融入湖州市国家绿色金融改革创新工作，实现绿色低碳转型金融更好服务于湖州经济社会发展，打造具有德清特色、走在全市前列的转型金融实践者。</w:t>
            </w:r>
          </w:p>
        </w:tc>
        <w:tc>
          <w:tcPr>
            <w:tcW w:w="851" w:type="dxa"/>
            <w:vAlign w:val="center"/>
          </w:tcPr>
          <w:p w:rsidR="00C13D7A" w:rsidRDefault="00C13D7A">
            <w:pPr>
              <w:pStyle w:val="Af6"/>
              <w:spacing w:beforeLines="50" w:before="156" w:afterLines="50" w:after="156" w:line="400" w:lineRule="exact"/>
              <w:rPr>
                <w:rFonts w:ascii="仿宋_GB2312" w:eastAsia="仿宋_GB2312" w:hAnsi="宋体" w:cs="仿宋_GB2312"/>
                <w:color w:val="auto"/>
                <w:lang w:val="zh-TW"/>
              </w:rPr>
            </w:pPr>
          </w:p>
        </w:tc>
      </w:tr>
    </w:tbl>
    <w:p w:rsidR="00C13D7A" w:rsidRDefault="00933E15">
      <w:pPr>
        <w:pStyle w:val="a"/>
        <w:tabs>
          <w:tab w:val="left" w:pos="720"/>
        </w:tabs>
        <w:spacing w:beforeLines="0" w:before="0" w:afterLines="0" w:after="0" w:line="580" w:lineRule="exact"/>
        <w:outlineLvl w:val="0"/>
        <w:rPr>
          <w:rFonts w:hAnsi="黑体"/>
          <w:b/>
          <w:sz w:val="32"/>
          <w:szCs w:val="32"/>
        </w:rPr>
      </w:pPr>
      <w:bookmarkStart w:id="111" w:name="_Toc23339688"/>
      <w:bookmarkStart w:id="112" w:name="_Toc23339950"/>
      <w:bookmarkStart w:id="113" w:name="_Toc38615470"/>
      <w:bookmarkStart w:id="114" w:name="_Toc38615362"/>
      <w:bookmarkStart w:id="115" w:name="_Toc38615325"/>
      <w:bookmarkStart w:id="116" w:name="_Toc157583863"/>
      <w:r>
        <w:rPr>
          <w:rFonts w:hAnsi="黑体" w:hint="eastAsia"/>
          <w:b/>
          <w:sz w:val="32"/>
          <w:szCs w:val="32"/>
        </w:rPr>
        <w:t>本行</w:t>
      </w:r>
      <w:bookmarkEnd w:id="111"/>
      <w:bookmarkEnd w:id="112"/>
      <w:bookmarkEnd w:id="113"/>
      <w:bookmarkEnd w:id="114"/>
      <w:bookmarkEnd w:id="115"/>
      <w:r>
        <w:rPr>
          <w:rFonts w:hAnsi="黑体" w:hint="eastAsia"/>
          <w:b/>
          <w:sz w:val="32"/>
          <w:szCs w:val="32"/>
        </w:rPr>
        <w:t>环境风险、机遇的分析与管理</w:t>
      </w:r>
      <w:bookmarkEnd w:id="116"/>
    </w:p>
    <w:p w:rsidR="00C13D7A" w:rsidRDefault="00933E15">
      <w:pPr>
        <w:pStyle w:val="a0"/>
        <w:spacing w:beforeLines="0" w:before="0" w:afterLines="0" w:after="0" w:line="580" w:lineRule="exact"/>
        <w:ind w:leftChars="67" w:left="141"/>
        <w:jc w:val="both"/>
        <w:outlineLvl w:val="1"/>
        <w:rPr>
          <w:rFonts w:ascii="楷体" w:eastAsia="楷体" w:hAnsi="楷体"/>
          <w:b/>
          <w:sz w:val="32"/>
          <w:szCs w:val="32"/>
          <w:lang w:val="zh-TW" w:eastAsia="zh-TW"/>
        </w:rPr>
      </w:pPr>
      <w:bookmarkStart w:id="117" w:name="_Toc23339689"/>
      <w:bookmarkStart w:id="118" w:name="_Toc38615471"/>
      <w:bookmarkStart w:id="119" w:name="_Toc38615326"/>
      <w:bookmarkStart w:id="120" w:name="_Toc23339951"/>
      <w:bookmarkStart w:id="121" w:name="_Toc38615363"/>
      <w:bookmarkStart w:id="122" w:name="_Toc157583864"/>
      <w:r>
        <w:rPr>
          <w:rFonts w:ascii="楷体" w:eastAsia="楷体" w:hAnsi="楷体" w:hint="eastAsia"/>
          <w:b/>
          <w:sz w:val="32"/>
          <w:szCs w:val="32"/>
          <w:lang w:val="zh-TW" w:eastAsia="zh-TW"/>
        </w:rPr>
        <w:t>金融机构</w:t>
      </w:r>
      <w:r>
        <w:rPr>
          <w:rFonts w:ascii="楷体" w:eastAsia="楷体" w:hAnsi="楷体"/>
          <w:b/>
          <w:sz w:val="32"/>
          <w:szCs w:val="32"/>
          <w:lang w:val="zh-TW" w:eastAsia="zh-TW"/>
        </w:rPr>
        <w:t>环境风险</w:t>
      </w:r>
      <w:r>
        <w:rPr>
          <w:rFonts w:ascii="楷体" w:eastAsia="楷体" w:hAnsi="楷体" w:hint="eastAsia"/>
          <w:b/>
          <w:sz w:val="32"/>
          <w:szCs w:val="32"/>
          <w:lang w:val="zh-TW" w:eastAsia="zh-TW"/>
        </w:rPr>
        <w:t>影响</w:t>
      </w:r>
      <w:bookmarkEnd w:id="117"/>
      <w:bookmarkEnd w:id="118"/>
      <w:bookmarkEnd w:id="119"/>
      <w:bookmarkEnd w:id="120"/>
      <w:bookmarkEnd w:id="121"/>
      <w:bookmarkEnd w:id="122"/>
    </w:p>
    <w:p w:rsidR="00C13D7A" w:rsidRDefault="00933E15">
      <w:pPr>
        <w:ind w:firstLineChars="200" w:firstLine="640"/>
        <w:rPr>
          <w:rFonts w:ascii="仿宋_GB2312" w:eastAsia="仿宋_GB2312"/>
          <w:sz w:val="32"/>
          <w:szCs w:val="32"/>
        </w:rPr>
      </w:pPr>
      <w:r>
        <w:rPr>
          <w:rFonts w:ascii="仿宋_GB2312" w:eastAsia="仿宋_GB2312" w:hint="eastAsia"/>
          <w:sz w:val="32"/>
          <w:szCs w:val="32"/>
        </w:rPr>
        <w:t>环境变化会对经济的发展前景和发展规模形成巨大影响，随着国家环境治理体系的不断完善，企业的环境风险演化为经营风险的可能性不断增加，特别是随着</w:t>
      </w:r>
      <w:proofErr w:type="gramStart"/>
      <w:r>
        <w:rPr>
          <w:rFonts w:ascii="仿宋_GB2312" w:eastAsia="仿宋_GB2312" w:hint="eastAsia"/>
          <w:sz w:val="32"/>
          <w:szCs w:val="32"/>
        </w:rPr>
        <w:t>“30.60”碳达峰</w:t>
      </w:r>
      <w:proofErr w:type="gramEnd"/>
      <w:r>
        <w:rPr>
          <w:rFonts w:ascii="仿宋_GB2312" w:eastAsia="仿宋_GB2312" w:hint="eastAsia"/>
          <w:sz w:val="32"/>
          <w:szCs w:val="32"/>
        </w:rPr>
        <w:t>、碳中和的目标提出，对高污染和高能耗行业过度集中的</w:t>
      </w:r>
      <w:r>
        <w:rPr>
          <w:rFonts w:ascii="仿宋_GB2312" w:eastAsia="仿宋_GB2312" w:hint="eastAsia"/>
          <w:sz w:val="32"/>
          <w:szCs w:val="32"/>
        </w:rPr>
        <w:lastRenderedPageBreak/>
        <w:t>资产配置将产生较大的潜在风险。对于金融机构而言， 无论是环境责任导致的直接风险，还是因环境问题造成成本上升带来的违约风险，抑或是企业作为债权人因环境问题引发的声誉风险，都将直接或间接地影响金融机构作为金融媒介的正常运营和资金配置作用的发挥。但从长远来看，一方面金融机构通过对环境风险分析，可以识别和量化环境因素引发的金融风险及创造的潜在投资机会，从而规避经济损失和金融风险，获得潜在收益；另一方面金融监管机构通过环境风险分析，可以识别和防范环境相关因素可能引起的系统性金融风险，防止超预期损失的发生。</w:t>
      </w:r>
      <w:bookmarkStart w:id="123" w:name="_Toc38615364"/>
      <w:bookmarkStart w:id="124" w:name="_Toc23339691"/>
      <w:bookmarkStart w:id="125" w:name="_Toc38615327"/>
      <w:bookmarkStart w:id="126" w:name="_Toc38615472"/>
      <w:bookmarkStart w:id="127" w:name="_Toc23339953"/>
      <w:r>
        <w:rPr>
          <w:rFonts w:ascii="仿宋_GB2312" w:eastAsia="仿宋_GB2312" w:hint="eastAsia"/>
          <w:sz w:val="32"/>
          <w:szCs w:val="32"/>
        </w:rPr>
        <w:t> </w:t>
      </w:r>
    </w:p>
    <w:p w:rsidR="00C13D7A" w:rsidRDefault="00933E15">
      <w:pPr>
        <w:pStyle w:val="a0"/>
        <w:spacing w:beforeLines="0" w:before="0" w:afterLines="0" w:after="0" w:line="580" w:lineRule="exact"/>
        <w:ind w:leftChars="67" w:left="141"/>
        <w:jc w:val="both"/>
        <w:outlineLvl w:val="1"/>
        <w:rPr>
          <w:rFonts w:ascii="楷体" w:eastAsia="楷体" w:hAnsi="楷体"/>
          <w:b/>
          <w:sz w:val="32"/>
          <w:szCs w:val="32"/>
          <w:lang w:val="zh-TW" w:eastAsia="zh-TW"/>
        </w:rPr>
      </w:pPr>
      <w:bookmarkStart w:id="128" w:name="_Toc157583865"/>
      <w:r>
        <w:rPr>
          <w:rFonts w:ascii="楷体" w:eastAsia="楷体" w:hAnsi="楷体" w:hint="eastAsia"/>
          <w:b/>
          <w:sz w:val="32"/>
          <w:szCs w:val="32"/>
          <w:lang w:val="zh-TW" w:eastAsia="zh-TW"/>
        </w:rPr>
        <w:t>本机构环境风险管理及流程</w:t>
      </w:r>
      <w:bookmarkEnd w:id="123"/>
      <w:bookmarkEnd w:id="124"/>
      <w:bookmarkEnd w:id="125"/>
      <w:bookmarkEnd w:id="126"/>
      <w:bookmarkEnd w:id="127"/>
      <w:bookmarkEnd w:id="128"/>
      <w:r>
        <w:rPr>
          <w:rFonts w:ascii="楷体" w:eastAsia="楷体" w:hAnsi="楷体" w:hint="eastAsia"/>
          <w:b/>
          <w:sz w:val="32"/>
          <w:szCs w:val="32"/>
          <w:lang w:val="zh-TW" w:eastAsia="zh-TW"/>
        </w:rPr>
        <w:t xml:space="preserve"> </w:t>
      </w:r>
    </w:p>
    <w:p w:rsidR="00C13D7A" w:rsidRDefault="00933E15">
      <w:pPr>
        <w:pStyle w:val="a0"/>
        <w:numPr>
          <w:ilvl w:val="0"/>
          <w:numId w:val="0"/>
        </w:numPr>
        <w:spacing w:beforeLines="0" w:before="0" w:afterLines="0" w:after="0" w:line="580" w:lineRule="exact"/>
        <w:ind w:left="141" w:firstLineChars="100" w:firstLine="320"/>
        <w:jc w:val="both"/>
        <w:outlineLvl w:val="1"/>
        <w:rPr>
          <w:rFonts w:ascii="楷体" w:eastAsia="楷体" w:hAnsi="楷体"/>
          <w:sz w:val="32"/>
          <w:szCs w:val="32"/>
          <w:lang w:val="zh-TW" w:eastAsia="zh-TW"/>
        </w:rPr>
      </w:pPr>
      <w:bookmarkStart w:id="129" w:name="_Toc157583866"/>
      <w:r>
        <w:rPr>
          <w:rFonts w:ascii="楷体" w:eastAsia="楷体" w:hAnsi="楷体" w:hint="eastAsia"/>
          <w:sz w:val="32"/>
          <w:szCs w:val="32"/>
          <w:lang w:val="zh-TW"/>
        </w:rPr>
        <w:t>5</w:t>
      </w:r>
      <w:r>
        <w:rPr>
          <w:rFonts w:ascii="楷体" w:eastAsia="PMingLiU" w:hAnsi="楷体"/>
          <w:sz w:val="32"/>
          <w:szCs w:val="32"/>
          <w:lang w:val="zh-TW" w:eastAsia="zh-TW"/>
        </w:rPr>
        <w:t>.2.1</w:t>
      </w:r>
      <w:r>
        <w:rPr>
          <w:rFonts w:ascii="楷体" w:eastAsia="楷体" w:hAnsi="楷体" w:hint="eastAsia"/>
          <w:b/>
          <w:sz w:val="32"/>
          <w:szCs w:val="32"/>
          <w:lang w:val="zh-TW" w:eastAsia="zh-TW"/>
        </w:rPr>
        <w:t>制订客户环境风险评估标准</w:t>
      </w:r>
      <w:bookmarkEnd w:id="129"/>
    </w:p>
    <w:p w:rsidR="00C13D7A" w:rsidRDefault="00933E15">
      <w:pPr>
        <w:spacing w:line="560" w:lineRule="exact"/>
        <w:ind w:firstLineChars="200" w:firstLine="643"/>
        <w:rPr>
          <w:rFonts w:ascii="仿宋_GB2312" w:eastAsia="仿宋_GB2312"/>
          <w:sz w:val="32"/>
          <w:szCs w:val="32"/>
        </w:rPr>
      </w:pPr>
      <w:r>
        <w:rPr>
          <w:rFonts w:ascii="仿宋_GB2312" w:eastAsia="仿宋_GB2312" w:hint="eastAsia"/>
          <w:b/>
          <w:bCs/>
          <w:sz w:val="32"/>
          <w:szCs w:val="32"/>
        </w:rPr>
        <w:t>一是</w:t>
      </w:r>
      <w:r>
        <w:rPr>
          <w:rFonts w:ascii="仿宋_GB2312" w:eastAsia="仿宋_GB2312" w:hAnsi="仿宋_GB2312" w:hint="eastAsia"/>
          <w:sz w:val="32"/>
          <w:szCs w:val="32"/>
        </w:rPr>
        <w:t>完善授权范围。本行将信贷客户是否符合产业政策、环境监测标准、生态保护、安全生产等合</w:t>
      </w:r>
      <w:proofErr w:type="gramStart"/>
      <w:r>
        <w:rPr>
          <w:rFonts w:ascii="仿宋_GB2312" w:eastAsia="仿宋_GB2312" w:hAnsi="仿宋_GB2312" w:hint="eastAsia"/>
          <w:sz w:val="32"/>
          <w:szCs w:val="32"/>
        </w:rPr>
        <w:t>规</w:t>
      </w:r>
      <w:proofErr w:type="gramEnd"/>
      <w:r>
        <w:rPr>
          <w:rFonts w:ascii="仿宋_GB2312" w:eastAsia="仿宋_GB2312" w:hAnsi="仿宋_GB2312" w:hint="eastAsia"/>
          <w:sz w:val="32"/>
          <w:szCs w:val="32"/>
        </w:rPr>
        <w:t>守法情况作为授信准入管理的重要前提条件，授信审批应在信贷业务授权范围内。</w:t>
      </w:r>
      <w:r>
        <w:rPr>
          <w:rFonts w:ascii="仿宋_GB2312" w:eastAsia="仿宋_GB2312" w:hAnsi="仿宋_GB2312" w:hint="eastAsia"/>
          <w:b/>
          <w:bCs/>
          <w:sz w:val="32"/>
          <w:szCs w:val="32"/>
        </w:rPr>
        <w:t>二是</w:t>
      </w:r>
      <w:r>
        <w:rPr>
          <w:rFonts w:ascii="仿宋_GB2312" w:eastAsia="仿宋_GB2312" w:hAnsi="仿宋_GB2312" w:hint="eastAsia"/>
          <w:sz w:val="32"/>
          <w:szCs w:val="32"/>
        </w:rPr>
        <w:t>加强授信调查。本行应加强授信客户（项目）的尽职调查，客户经理应在贷前调查过程中认真核实企业环保、安全生产的依法合</w:t>
      </w:r>
      <w:proofErr w:type="gramStart"/>
      <w:r>
        <w:rPr>
          <w:rFonts w:ascii="仿宋_GB2312" w:eastAsia="仿宋_GB2312" w:hAnsi="仿宋_GB2312" w:hint="eastAsia"/>
          <w:sz w:val="32"/>
          <w:szCs w:val="32"/>
        </w:rPr>
        <w:t>规</w:t>
      </w:r>
      <w:proofErr w:type="gramEnd"/>
      <w:r>
        <w:rPr>
          <w:rFonts w:ascii="仿宋_GB2312" w:eastAsia="仿宋_GB2312" w:hAnsi="仿宋_GB2312" w:hint="eastAsia"/>
          <w:sz w:val="32"/>
          <w:szCs w:val="32"/>
        </w:rPr>
        <w:t>情况。</w:t>
      </w:r>
      <w:r>
        <w:rPr>
          <w:rFonts w:ascii="仿宋_GB2312" w:eastAsia="仿宋_GB2312" w:hAnsi="仿宋_GB2312" w:hint="eastAsia"/>
          <w:b/>
          <w:bCs/>
          <w:sz w:val="32"/>
          <w:szCs w:val="32"/>
        </w:rPr>
        <w:t>三是</w:t>
      </w:r>
      <w:r>
        <w:rPr>
          <w:rFonts w:ascii="仿宋_GB2312" w:eastAsia="仿宋_GB2312" w:hAnsi="仿宋_GB2312" w:hint="eastAsia"/>
          <w:sz w:val="32"/>
          <w:szCs w:val="32"/>
        </w:rPr>
        <w:t>全面风险调查。授信客户存在关联企业的，经办支行（营业部）需将关联企业的环保、安全生产合</w:t>
      </w:r>
      <w:proofErr w:type="gramStart"/>
      <w:r>
        <w:rPr>
          <w:rFonts w:ascii="仿宋_GB2312" w:eastAsia="仿宋_GB2312" w:hAnsi="仿宋_GB2312" w:hint="eastAsia"/>
          <w:sz w:val="32"/>
          <w:szCs w:val="32"/>
        </w:rPr>
        <w:t>规</w:t>
      </w:r>
      <w:proofErr w:type="gramEnd"/>
      <w:r>
        <w:rPr>
          <w:rFonts w:ascii="仿宋_GB2312" w:eastAsia="仿宋_GB2312" w:hAnsi="仿宋_GB2312" w:hint="eastAsia"/>
          <w:sz w:val="32"/>
          <w:szCs w:val="32"/>
        </w:rPr>
        <w:t>情况统一纳入贷前调查范围之内。</w:t>
      </w:r>
      <w:proofErr w:type="gramStart"/>
      <w:r>
        <w:rPr>
          <w:rFonts w:ascii="仿宋_GB2312" w:eastAsia="仿宋_GB2312" w:hAnsi="仿宋_GB2312" w:hint="eastAsia"/>
          <w:sz w:val="32"/>
          <w:szCs w:val="32"/>
        </w:rPr>
        <w:t>若授信</w:t>
      </w:r>
      <w:proofErr w:type="gramEnd"/>
      <w:r>
        <w:rPr>
          <w:rFonts w:ascii="仿宋_GB2312" w:eastAsia="仿宋_GB2312" w:hAnsi="仿宋_GB2312" w:hint="eastAsia"/>
          <w:sz w:val="32"/>
          <w:szCs w:val="32"/>
        </w:rPr>
        <w:t>业务涉及担保人的，还应对担保人的环保、安全生产合</w:t>
      </w:r>
      <w:proofErr w:type="gramStart"/>
      <w:r>
        <w:rPr>
          <w:rFonts w:ascii="仿宋_GB2312" w:eastAsia="仿宋_GB2312" w:hAnsi="仿宋_GB2312" w:hint="eastAsia"/>
          <w:sz w:val="32"/>
          <w:szCs w:val="32"/>
        </w:rPr>
        <w:t>规</w:t>
      </w:r>
      <w:proofErr w:type="gramEnd"/>
      <w:r>
        <w:rPr>
          <w:rFonts w:ascii="仿宋_GB2312" w:eastAsia="仿宋_GB2312" w:hAnsi="仿宋_GB2312" w:hint="eastAsia"/>
          <w:sz w:val="32"/>
          <w:szCs w:val="32"/>
        </w:rPr>
        <w:t>情况进行调查。</w:t>
      </w:r>
      <w:r>
        <w:rPr>
          <w:rFonts w:ascii="仿宋_GB2312" w:eastAsia="仿宋_GB2312" w:hAnsi="仿宋_GB2312" w:hint="eastAsia"/>
          <w:b/>
          <w:bCs/>
          <w:sz w:val="32"/>
          <w:szCs w:val="32"/>
        </w:rPr>
        <w:t>四是</w:t>
      </w:r>
      <w:r>
        <w:rPr>
          <w:rFonts w:ascii="仿宋_GB2312" w:eastAsia="仿宋_GB2312" w:hAnsi="仿宋_GB2312" w:hint="eastAsia"/>
          <w:sz w:val="32"/>
          <w:szCs w:val="32"/>
        </w:rPr>
        <w:t>加强沟通合作。本行在授信工作中应加强与环保、安监、市场监管局、</w:t>
      </w:r>
      <w:proofErr w:type="gramStart"/>
      <w:r>
        <w:rPr>
          <w:rFonts w:ascii="仿宋_GB2312" w:eastAsia="仿宋_GB2312" w:hAnsi="仿宋_GB2312" w:hint="eastAsia"/>
          <w:sz w:val="32"/>
          <w:szCs w:val="32"/>
        </w:rPr>
        <w:t>经信委等</w:t>
      </w:r>
      <w:proofErr w:type="gramEnd"/>
      <w:r>
        <w:rPr>
          <w:rFonts w:ascii="仿宋_GB2312" w:eastAsia="仿宋_GB2312" w:hAnsi="仿宋_GB2312" w:hint="eastAsia"/>
          <w:sz w:val="32"/>
          <w:szCs w:val="32"/>
        </w:rPr>
        <w:t>相关部门的合作，建立信</w:t>
      </w:r>
      <w:r>
        <w:rPr>
          <w:rFonts w:ascii="仿宋_GB2312" w:eastAsia="仿宋_GB2312" w:hAnsi="仿宋_GB2312" w:hint="eastAsia"/>
          <w:sz w:val="32"/>
          <w:szCs w:val="32"/>
        </w:rPr>
        <w:lastRenderedPageBreak/>
        <w:t>息沟通机制，通过实地调查和间接调查（包括政府网站、</w:t>
      </w:r>
      <w:proofErr w:type="gramStart"/>
      <w:r>
        <w:rPr>
          <w:rFonts w:ascii="仿宋_GB2312" w:eastAsia="仿宋_GB2312" w:hAnsi="仿宋_GB2312" w:hint="eastAsia"/>
          <w:sz w:val="32"/>
          <w:szCs w:val="32"/>
        </w:rPr>
        <w:t>绿贷通</w:t>
      </w:r>
      <w:proofErr w:type="gramEnd"/>
      <w:r>
        <w:rPr>
          <w:rFonts w:ascii="仿宋_GB2312" w:eastAsia="仿宋_GB2312" w:hAnsi="仿宋_GB2312" w:hint="eastAsia"/>
          <w:sz w:val="32"/>
          <w:szCs w:val="32"/>
        </w:rPr>
        <w:t>平台、征信系统）相结合的方式，全面了解客户环境与社会风险情况信息</w:t>
      </w:r>
      <w:r>
        <w:rPr>
          <w:rFonts w:ascii="仿宋_GB2312" w:eastAsia="仿宋_GB2312" w:hint="eastAsia"/>
          <w:sz w:val="32"/>
          <w:szCs w:val="32"/>
        </w:rPr>
        <w:t>。</w:t>
      </w:r>
    </w:p>
    <w:p w:rsidR="00C13D7A" w:rsidRDefault="00933E15">
      <w:pPr>
        <w:pStyle w:val="a0"/>
        <w:numPr>
          <w:ilvl w:val="0"/>
          <w:numId w:val="0"/>
        </w:numPr>
        <w:spacing w:beforeLines="0" w:before="0" w:afterLines="0" w:after="0" w:line="580" w:lineRule="exact"/>
        <w:ind w:left="141" w:firstLineChars="100" w:firstLine="320"/>
        <w:jc w:val="both"/>
        <w:outlineLvl w:val="1"/>
        <w:rPr>
          <w:rFonts w:ascii="楷体" w:eastAsia="楷体" w:hAnsi="楷体"/>
          <w:sz w:val="32"/>
          <w:szCs w:val="32"/>
          <w:lang w:val="zh-TW"/>
        </w:rPr>
      </w:pPr>
      <w:bookmarkStart w:id="130" w:name="_Toc157583867"/>
      <w:r>
        <w:rPr>
          <w:rFonts w:ascii="楷体" w:eastAsia="楷体" w:hAnsi="楷体" w:hint="eastAsia"/>
          <w:sz w:val="32"/>
          <w:szCs w:val="32"/>
          <w:lang w:val="zh-TW"/>
        </w:rPr>
        <w:t>5</w:t>
      </w:r>
      <w:r>
        <w:rPr>
          <w:rFonts w:ascii="楷体" w:eastAsia="PMingLiU" w:hAnsi="楷体"/>
          <w:sz w:val="32"/>
          <w:szCs w:val="32"/>
          <w:lang w:val="zh-TW" w:eastAsia="zh-TW"/>
        </w:rPr>
        <w:t>.2.2</w:t>
      </w:r>
      <w:r>
        <w:rPr>
          <w:rFonts w:ascii="楷体" w:eastAsia="楷体" w:hAnsi="楷体" w:hint="eastAsia"/>
          <w:b/>
          <w:sz w:val="32"/>
          <w:szCs w:val="32"/>
          <w:lang w:val="zh-TW"/>
        </w:rPr>
        <w:t>加强风险管理评级</w:t>
      </w:r>
      <w:bookmarkEnd w:id="130"/>
    </w:p>
    <w:p w:rsidR="00C13D7A" w:rsidRDefault="00933E15">
      <w:pPr>
        <w:pStyle w:val="af5"/>
        <w:spacing w:line="580" w:lineRule="exact"/>
        <w:ind w:firstLine="643"/>
        <w:rPr>
          <w:rFonts w:ascii="仿宋_GB2312" w:eastAsia="仿宋_GB2312" w:hAnsi="宋体"/>
          <w:sz w:val="32"/>
          <w:szCs w:val="32"/>
        </w:rPr>
      </w:pPr>
      <w:r>
        <w:rPr>
          <w:rFonts w:ascii="仿宋_GB2312" w:eastAsia="仿宋_GB2312" w:hint="eastAsia"/>
          <w:b/>
          <w:bCs/>
          <w:color w:val="000000"/>
          <w:sz w:val="32"/>
          <w:szCs w:val="32"/>
        </w:rPr>
        <w:t>一是</w:t>
      </w:r>
      <w:r>
        <w:rPr>
          <w:rFonts w:ascii="仿宋_GB2312" w:eastAsia="仿宋_GB2312" w:hint="eastAsia"/>
          <w:sz w:val="32"/>
          <w:szCs w:val="32"/>
        </w:rPr>
        <w:t>开发企业环境信用评价系统。紧紧围绕绿色信贷标准化口径与自动化识别、建设环境与社会风险评估、环境效益测算、创新绿色信用分等子项目，为绿色项目提供专业化的环境效应测算、风险评估和绿色评级的系统服务，在此基础上，通过环保数据并通过大数据分析，成功上线“由清至绿”企业信用环境评价系统。通过该系统对企业遵守环保法律法规、履行环保社会责任等方面的实际表现进行环境信用评价，确定其信用等级。建立环境“守信激励、失信惩戒”的信贷机制，有力督促企业持续改进环境行为，自觉履行环境保护法定义务和社会责任。并将风险评级结果</w:t>
      </w:r>
      <w:proofErr w:type="gramStart"/>
      <w:r>
        <w:rPr>
          <w:rFonts w:ascii="仿宋_GB2312" w:eastAsia="仿宋_GB2312" w:hint="eastAsia"/>
          <w:sz w:val="32"/>
          <w:szCs w:val="32"/>
        </w:rPr>
        <w:t>应用到授信</w:t>
      </w:r>
      <w:proofErr w:type="gramEnd"/>
      <w:r>
        <w:rPr>
          <w:rFonts w:ascii="仿宋_GB2312" w:eastAsia="仿宋_GB2312" w:hint="eastAsia"/>
          <w:sz w:val="32"/>
          <w:szCs w:val="32"/>
        </w:rPr>
        <w:t>审批等贷款流程中。</w:t>
      </w:r>
      <w:r>
        <w:rPr>
          <w:rFonts w:ascii="仿宋_GB2312" w:eastAsia="仿宋_GB2312" w:hint="eastAsia"/>
          <w:b/>
          <w:bCs/>
          <w:sz w:val="32"/>
          <w:szCs w:val="32"/>
        </w:rPr>
        <w:t>二是</w:t>
      </w:r>
      <w:r>
        <w:rPr>
          <w:rFonts w:ascii="仿宋_GB2312" w:eastAsia="仿宋_GB2312" w:hint="eastAsia"/>
          <w:sz w:val="32"/>
          <w:szCs w:val="32"/>
        </w:rPr>
        <w:t>在贷款合同中订立客户加强环境风险管理的声明和保证条款、客户接受贷款人监督等承诺条款，订立潜在风险客户及风险客户提交环境风险报告等义务条款，在资金拨付和贷后管理中强化对客户环境影响的跟踪监测与监督管理。</w:t>
      </w:r>
      <w:bookmarkStart w:id="131" w:name="_Toc23339954"/>
      <w:bookmarkStart w:id="132" w:name="_Toc23339692"/>
    </w:p>
    <w:p w:rsidR="00C13D7A" w:rsidRDefault="00933E15">
      <w:pPr>
        <w:pStyle w:val="a"/>
        <w:tabs>
          <w:tab w:val="left" w:pos="720"/>
        </w:tabs>
        <w:spacing w:beforeLines="0" w:before="0" w:afterLines="0" w:after="0" w:line="580" w:lineRule="exact"/>
        <w:outlineLvl w:val="0"/>
        <w:rPr>
          <w:rFonts w:hAnsi="黑体"/>
          <w:b/>
          <w:sz w:val="32"/>
          <w:szCs w:val="32"/>
        </w:rPr>
      </w:pPr>
      <w:bookmarkStart w:id="133" w:name="_Toc38615328"/>
      <w:bookmarkStart w:id="134" w:name="_Toc38615473"/>
      <w:bookmarkStart w:id="135" w:name="_Toc38615365"/>
      <w:bookmarkStart w:id="136" w:name="_Toc157583868"/>
      <w:r>
        <w:rPr>
          <w:rFonts w:hAnsi="黑体" w:hint="eastAsia"/>
          <w:b/>
          <w:sz w:val="32"/>
          <w:szCs w:val="32"/>
        </w:rPr>
        <w:t>本机构经营活动的环境影响</w:t>
      </w:r>
      <w:bookmarkEnd w:id="131"/>
      <w:bookmarkEnd w:id="132"/>
      <w:bookmarkEnd w:id="133"/>
      <w:bookmarkEnd w:id="134"/>
      <w:bookmarkEnd w:id="135"/>
      <w:bookmarkEnd w:id="136"/>
    </w:p>
    <w:p w:rsidR="00C13D7A" w:rsidRDefault="00933E15">
      <w:pPr>
        <w:pStyle w:val="a0"/>
        <w:spacing w:beforeLines="0" w:before="0" w:afterLines="0" w:after="0" w:line="580" w:lineRule="exact"/>
        <w:ind w:leftChars="67" w:left="141"/>
        <w:jc w:val="both"/>
        <w:outlineLvl w:val="1"/>
        <w:rPr>
          <w:rFonts w:ascii="楷体" w:eastAsia="楷体" w:hAnsi="楷体"/>
          <w:b/>
          <w:sz w:val="32"/>
          <w:szCs w:val="32"/>
          <w:lang w:val="zh-TW" w:eastAsia="zh-TW"/>
        </w:rPr>
      </w:pPr>
      <w:bookmarkStart w:id="137" w:name="_Toc157583869"/>
      <w:r>
        <w:rPr>
          <w:rFonts w:ascii="楷体" w:eastAsia="楷体" w:hAnsi="楷体" w:hint="eastAsia"/>
          <w:b/>
          <w:sz w:val="32"/>
          <w:szCs w:val="32"/>
          <w:lang w:val="zh-TW" w:eastAsia="zh-TW"/>
        </w:rPr>
        <w:t>本机构经营活动对环境产生的影响</w:t>
      </w:r>
      <w:bookmarkEnd w:id="137"/>
    </w:p>
    <w:p w:rsidR="00C13D7A" w:rsidRDefault="00933E15">
      <w:pPr>
        <w:snapToGrid w:val="0"/>
        <w:spacing w:line="580" w:lineRule="exact"/>
        <w:ind w:firstLineChars="200" w:firstLine="640"/>
        <w:rPr>
          <w:rFonts w:ascii="仿宋_GB2312" w:eastAsia="仿宋_GB2312" w:hAnsi="宋体" w:cs="黑体"/>
          <w:sz w:val="32"/>
          <w:szCs w:val="32"/>
        </w:rPr>
      </w:pPr>
      <w:r w:rsidRPr="0072548F">
        <w:rPr>
          <w:rFonts w:ascii="仿宋_GB2312" w:eastAsia="仿宋_GB2312" w:hAnsi="宋体" w:cs="黑体" w:hint="eastAsia"/>
          <w:sz w:val="32"/>
          <w:szCs w:val="32"/>
        </w:rPr>
        <w:t>截至2</w:t>
      </w:r>
      <w:r w:rsidRPr="0072548F">
        <w:rPr>
          <w:rFonts w:ascii="仿宋_GB2312" w:eastAsia="仿宋_GB2312" w:hAnsi="宋体" w:cs="黑体"/>
          <w:sz w:val="32"/>
          <w:szCs w:val="32"/>
        </w:rPr>
        <w:t>02</w:t>
      </w:r>
      <w:r w:rsidR="0072548F" w:rsidRPr="0072548F">
        <w:rPr>
          <w:rFonts w:ascii="仿宋_GB2312" w:eastAsia="仿宋_GB2312" w:hAnsi="宋体" w:cs="黑体"/>
          <w:sz w:val="32"/>
          <w:szCs w:val="32"/>
        </w:rPr>
        <w:t>4</w:t>
      </w:r>
      <w:r w:rsidRPr="0072548F">
        <w:rPr>
          <w:rFonts w:ascii="仿宋_GB2312" w:eastAsia="仿宋_GB2312" w:hAnsi="宋体" w:cs="黑体" w:hint="eastAsia"/>
          <w:sz w:val="32"/>
          <w:szCs w:val="32"/>
        </w:rPr>
        <w:t>年末，本</w:t>
      </w:r>
      <w:r>
        <w:rPr>
          <w:rFonts w:ascii="仿宋_GB2312" w:eastAsia="仿宋_GB2312" w:hAnsi="宋体" w:cs="黑体" w:hint="eastAsia"/>
          <w:sz w:val="32"/>
          <w:szCs w:val="32"/>
        </w:rPr>
        <w:t>行按照公允/通行的计算标准，营业、办公活动对环境造成的影响如下表所示：</w:t>
      </w:r>
    </w:p>
    <w:p w:rsidR="00C13D7A" w:rsidRDefault="00933E15">
      <w:pPr>
        <w:pStyle w:val="Af6"/>
        <w:spacing w:line="560" w:lineRule="exact"/>
        <w:jc w:val="center"/>
        <w:rPr>
          <w:rFonts w:ascii="黑体" w:eastAsia="黑体" w:hAnsi="黑体" w:cs="仿宋_GB2312"/>
          <w:sz w:val="24"/>
          <w:szCs w:val="24"/>
        </w:rPr>
      </w:pPr>
      <w:r>
        <w:rPr>
          <w:rFonts w:ascii="黑体" w:eastAsia="黑体" w:hAnsi="黑体" w:cs="仿宋_GB2312" w:hint="eastAsia"/>
          <w:sz w:val="24"/>
          <w:szCs w:val="24"/>
        </w:rPr>
        <w:t>表3. 金融机构经营活动对环境产生的影响</w:t>
      </w:r>
    </w:p>
    <w:tbl>
      <w:tblPr>
        <w:tblW w:w="0" w:type="auto"/>
        <w:tblCellSpacing w:w="15" w:type="dxa"/>
        <w:tblInd w:w="-27" w:type="dxa"/>
        <w:tblCellMar>
          <w:top w:w="15" w:type="dxa"/>
          <w:left w:w="15" w:type="dxa"/>
          <w:bottom w:w="15" w:type="dxa"/>
          <w:right w:w="15" w:type="dxa"/>
        </w:tblCellMar>
        <w:tblLook w:val="04A0" w:firstRow="1" w:lastRow="0" w:firstColumn="1" w:lastColumn="0" w:noHBand="0" w:noVBand="1"/>
      </w:tblPr>
      <w:tblGrid>
        <w:gridCol w:w="2242"/>
        <w:gridCol w:w="4132"/>
        <w:gridCol w:w="990"/>
        <w:gridCol w:w="959"/>
      </w:tblGrid>
      <w:tr w:rsidR="00C13D7A">
        <w:trPr>
          <w:trHeight w:val="285"/>
          <w:tblCellSpacing w:w="15" w:type="dxa"/>
        </w:trPr>
        <w:tc>
          <w:tcPr>
            <w:tcW w:w="2307" w:type="dxa"/>
            <w:tcBorders>
              <w:top w:val="single" w:sz="6" w:space="0" w:color="auto"/>
              <w:left w:val="single" w:sz="6" w:space="0" w:color="auto"/>
              <w:bottom w:val="single" w:sz="6" w:space="0" w:color="auto"/>
              <w:right w:val="single" w:sz="6" w:space="0" w:color="auto"/>
            </w:tcBorders>
            <w:shd w:val="clear" w:color="auto" w:fill="DEEAF6" w:themeFill="accent1" w:themeFillTint="33"/>
            <w:tcMar>
              <w:top w:w="0" w:type="dxa"/>
              <w:left w:w="105" w:type="dxa"/>
              <w:bottom w:w="0" w:type="dxa"/>
              <w:right w:w="105" w:type="dxa"/>
            </w:tcMar>
            <w:vAlign w:val="center"/>
          </w:tcPr>
          <w:p w:rsidR="00C13D7A" w:rsidRDefault="00933E15">
            <w:pPr>
              <w:pStyle w:val="af0"/>
              <w:widowControl/>
              <w:spacing w:line="360" w:lineRule="auto"/>
              <w:jc w:val="center"/>
              <w:rPr>
                <w:kern w:val="2"/>
              </w:rPr>
            </w:pPr>
            <w:r>
              <w:rPr>
                <w:rStyle w:val="15"/>
                <w:rFonts w:hint="default"/>
                <w:color w:val="000000"/>
                <w:kern w:val="2"/>
                <w:sz w:val="21"/>
                <w:szCs w:val="21"/>
              </w:rPr>
              <w:lastRenderedPageBreak/>
              <w:t>指标名称</w:t>
            </w:r>
          </w:p>
        </w:tc>
        <w:tc>
          <w:tcPr>
            <w:tcW w:w="4307" w:type="dxa"/>
            <w:tcBorders>
              <w:top w:val="single" w:sz="6" w:space="0" w:color="auto"/>
              <w:left w:val="nil"/>
              <w:bottom w:val="single" w:sz="6" w:space="0" w:color="auto"/>
              <w:right w:val="single" w:sz="6" w:space="0" w:color="auto"/>
            </w:tcBorders>
            <w:shd w:val="clear" w:color="auto" w:fill="DEEAF6" w:themeFill="accent1" w:themeFillTint="33"/>
            <w:tcMar>
              <w:top w:w="0" w:type="dxa"/>
              <w:left w:w="105" w:type="dxa"/>
              <w:bottom w:w="0" w:type="dxa"/>
              <w:right w:w="105" w:type="dxa"/>
            </w:tcMar>
            <w:vAlign w:val="center"/>
          </w:tcPr>
          <w:p w:rsidR="00C13D7A" w:rsidRDefault="00933E15">
            <w:pPr>
              <w:pStyle w:val="af0"/>
              <w:widowControl/>
              <w:spacing w:line="360" w:lineRule="auto"/>
              <w:jc w:val="center"/>
              <w:rPr>
                <w:kern w:val="2"/>
              </w:rPr>
            </w:pPr>
            <w:r>
              <w:rPr>
                <w:rStyle w:val="15"/>
                <w:rFonts w:hint="default"/>
                <w:color w:val="000000"/>
                <w:kern w:val="2"/>
                <w:sz w:val="21"/>
                <w:szCs w:val="21"/>
              </w:rPr>
              <w:t>披露细项</w:t>
            </w:r>
          </w:p>
        </w:tc>
        <w:tc>
          <w:tcPr>
            <w:tcW w:w="841" w:type="dxa"/>
            <w:tcBorders>
              <w:top w:val="single" w:sz="6" w:space="0" w:color="auto"/>
              <w:left w:val="nil"/>
              <w:bottom w:val="single" w:sz="6" w:space="0" w:color="auto"/>
              <w:right w:val="single" w:sz="6" w:space="0" w:color="auto"/>
            </w:tcBorders>
            <w:shd w:val="clear" w:color="auto" w:fill="DEEAF6" w:themeFill="accent1" w:themeFillTint="33"/>
            <w:tcMar>
              <w:top w:w="0" w:type="dxa"/>
              <w:left w:w="105" w:type="dxa"/>
              <w:bottom w:w="0" w:type="dxa"/>
              <w:right w:w="105" w:type="dxa"/>
            </w:tcMar>
            <w:vAlign w:val="center"/>
          </w:tcPr>
          <w:p w:rsidR="00C13D7A" w:rsidRDefault="00933E15">
            <w:pPr>
              <w:pStyle w:val="af0"/>
              <w:widowControl/>
              <w:spacing w:line="360" w:lineRule="auto"/>
              <w:jc w:val="center"/>
              <w:rPr>
                <w:kern w:val="2"/>
              </w:rPr>
            </w:pPr>
            <w:r>
              <w:rPr>
                <w:rStyle w:val="15"/>
                <w:rFonts w:hint="default"/>
                <w:color w:val="000000"/>
                <w:kern w:val="2"/>
                <w:sz w:val="21"/>
                <w:szCs w:val="21"/>
              </w:rPr>
              <w:t>总量</w:t>
            </w:r>
          </w:p>
        </w:tc>
        <w:tc>
          <w:tcPr>
            <w:tcW w:w="914" w:type="dxa"/>
            <w:tcBorders>
              <w:top w:val="single" w:sz="6" w:space="0" w:color="auto"/>
              <w:left w:val="nil"/>
              <w:bottom w:val="single" w:sz="6" w:space="0" w:color="auto"/>
              <w:right w:val="single" w:sz="6" w:space="0" w:color="auto"/>
            </w:tcBorders>
            <w:shd w:val="clear" w:color="auto" w:fill="DEEAF6" w:themeFill="accent1" w:themeFillTint="33"/>
            <w:tcMar>
              <w:top w:w="0" w:type="dxa"/>
              <w:left w:w="105" w:type="dxa"/>
              <w:bottom w:w="0" w:type="dxa"/>
              <w:right w:w="105" w:type="dxa"/>
            </w:tcMar>
            <w:vAlign w:val="center"/>
          </w:tcPr>
          <w:p w:rsidR="00C13D7A" w:rsidRDefault="00933E15">
            <w:pPr>
              <w:pStyle w:val="af0"/>
              <w:widowControl/>
              <w:spacing w:line="360" w:lineRule="auto"/>
              <w:jc w:val="center"/>
              <w:rPr>
                <w:kern w:val="2"/>
              </w:rPr>
            </w:pPr>
            <w:r>
              <w:rPr>
                <w:rStyle w:val="15"/>
                <w:rFonts w:hint="default"/>
                <w:color w:val="000000"/>
                <w:kern w:val="2"/>
                <w:sz w:val="21"/>
                <w:szCs w:val="21"/>
              </w:rPr>
              <w:t>人均</w:t>
            </w:r>
          </w:p>
        </w:tc>
      </w:tr>
      <w:tr w:rsidR="00C13D7A">
        <w:trPr>
          <w:trHeight w:val="15"/>
          <w:tblCellSpacing w:w="15" w:type="dxa"/>
        </w:trPr>
        <w:tc>
          <w:tcPr>
            <w:tcW w:w="2307"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C13D7A" w:rsidRDefault="00933E15">
            <w:pPr>
              <w:pStyle w:val="af0"/>
              <w:widowControl/>
              <w:spacing w:line="360" w:lineRule="auto"/>
              <w:jc w:val="center"/>
              <w:rPr>
                <w:kern w:val="2"/>
              </w:rPr>
            </w:pPr>
            <w:r>
              <w:rPr>
                <w:color w:val="000000"/>
                <w:kern w:val="2"/>
                <w:sz w:val="21"/>
                <w:szCs w:val="21"/>
              </w:rPr>
              <w:t>经营活动直接产生的温室气体排放和自然资源的消耗</w:t>
            </w:r>
          </w:p>
        </w:tc>
        <w:tc>
          <w:tcPr>
            <w:tcW w:w="4307" w:type="dxa"/>
            <w:tcBorders>
              <w:top w:val="nil"/>
              <w:left w:val="nil"/>
              <w:bottom w:val="single" w:sz="6" w:space="0" w:color="auto"/>
              <w:right w:val="single" w:sz="6" w:space="0" w:color="auto"/>
            </w:tcBorders>
            <w:tcMar>
              <w:top w:w="0" w:type="dxa"/>
              <w:left w:w="105" w:type="dxa"/>
              <w:bottom w:w="0" w:type="dxa"/>
              <w:right w:w="105" w:type="dxa"/>
            </w:tcMar>
            <w:vAlign w:val="center"/>
          </w:tcPr>
          <w:p w:rsidR="00C13D7A" w:rsidRDefault="00933E15">
            <w:pPr>
              <w:pStyle w:val="af0"/>
              <w:widowControl/>
              <w:spacing w:line="360" w:lineRule="auto"/>
              <w:jc w:val="center"/>
              <w:rPr>
                <w:kern w:val="2"/>
              </w:rPr>
            </w:pPr>
            <w:r>
              <w:rPr>
                <w:color w:val="000000"/>
                <w:kern w:val="2"/>
                <w:sz w:val="21"/>
                <w:szCs w:val="21"/>
              </w:rPr>
              <w:t>机构自有交通运输工具所消耗的燃油（升）</w:t>
            </w:r>
          </w:p>
        </w:tc>
        <w:tc>
          <w:tcPr>
            <w:tcW w:w="841" w:type="dxa"/>
            <w:tcBorders>
              <w:top w:val="nil"/>
              <w:left w:val="nil"/>
              <w:bottom w:val="single" w:sz="6" w:space="0" w:color="auto"/>
              <w:right w:val="single" w:sz="6" w:space="0" w:color="auto"/>
            </w:tcBorders>
            <w:tcMar>
              <w:top w:w="0" w:type="dxa"/>
              <w:left w:w="105" w:type="dxa"/>
              <w:bottom w:w="0" w:type="dxa"/>
              <w:right w:w="105" w:type="dxa"/>
            </w:tcMar>
            <w:vAlign w:val="center"/>
          </w:tcPr>
          <w:p w:rsidR="00C13D7A" w:rsidRDefault="0072548F">
            <w:r>
              <w:rPr>
                <w:rFonts w:ascii="Arial Unicode MS" w:hAnsi="Arial Unicode MS" w:cs="Arial Unicode MS"/>
              </w:rPr>
              <w:t>10666</w:t>
            </w:r>
          </w:p>
        </w:tc>
        <w:tc>
          <w:tcPr>
            <w:tcW w:w="914" w:type="dxa"/>
            <w:tcBorders>
              <w:top w:val="nil"/>
              <w:left w:val="nil"/>
              <w:bottom w:val="single" w:sz="6" w:space="0" w:color="auto"/>
              <w:right w:val="single" w:sz="6" w:space="0" w:color="auto"/>
            </w:tcBorders>
            <w:tcMar>
              <w:top w:w="0" w:type="dxa"/>
              <w:left w:w="105" w:type="dxa"/>
              <w:bottom w:w="0" w:type="dxa"/>
              <w:right w:w="105" w:type="dxa"/>
            </w:tcMar>
            <w:vAlign w:val="center"/>
          </w:tcPr>
          <w:p w:rsidR="00C13D7A" w:rsidRDefault="0072548F">
            <w:r>
              <w:rPr>
                <w:rFonts w:ascii="Arial Unicode MS" w:hAnsi="Arial Unicode MS" w:cs="Arial Unicode MS"/>
              </w:rPr>
              <w:t>17.78</w:t>
            </w:r>
          </w:p>
        </w:tc>
      </w:tr>
      <w:tr w:rsidR="00C13D7A">
        <w:trPr>
          <w:trHeight w:val="15"/>
          <w:tblCellSpacing w:w="15" w:type="dxa"/>
        </w:trPr>
        <w:tc>
          <w:tcPr>
            <w:tcW w:w="0" w:type="auto"/>
            <w:vMerge/>
            <w:tcBorders>
              <w:top w:val="nil"/>
              <w:left w:val="single" w:sz="6" w:space="0" w:color="auto"/>
              <w:bottom w:val="single" w:sz="6" w:space="0" w:color="auto"/>
              <w:right w:val="single" w:sz="6" w:space="0" w:color="auto"/>
            </w:tcBorders>
            <w:vAlign w:val="center"/>
          </w:tcPr>
          <w:p w:rsidR="00C13D7A" w:rsidRDefault="00C13D7A">
            <w:pPr>
              <w:rPr>
                <w:rFonts w:ascii="Calibri" w:hAnsi="Calibri" w:cs="Calibri"/>
                <w:sz w:val="24"/>
              </w:rPr>
            </w:pPr>
          </w:p>
        </w:tc>
        <w:tc>
          <w:tcPr>
            <w:tcW w:w="4307" w:type="dxa"/>
            <w:tcBorders>
              <w:top w:val="nil"/>
              <w:left w:val="nil"/>
              <w:bottom w:val="single" w:sz="6" w:space="0" w:color="auto"/>
              <w:right w:val="single" w:sz="6" w:space="0" w:color="auto"/>
            </w:tcBorders>
            <w:tcMar>
              <w:top w:w="0" w:type="dxa"/>
              <w:left w:w="105" w:type="dxa"/>
              <w:bottom w:w="0" w:type="dxa"/>
              <w:right w:w="105" w:type="dxa"/>
            </w:tcMar>
            <w:vAlign w:val="center"/>
          </w:tcPr>
          <w:p w:rsidR="00C13D7A" w:rsidRDefault="00933E15">
            <w:pPr>
              <w:pStyle w:val="af0"/>
              <w:widowControl/>
              <w:spacing w:line="360" w:lineRule="auto"/>
              <w:jc w:val="center"/>
              <w:rPr>
                <w:kern w:val="2"/>
              </w:rPr>
            </w:pPr>
            <w:r>
              <w:rPr>
                <w:color w:val="000000"/>
                <w:kern w:val="2"/>
                <w:sz w:val="21"/>
                <w:szCs w:val="21"/>
              </w:rPr>
              <w:t>自有采暖（制冷）设备所消耗的燃料（升）</w:t>
            </w:r>
          </w:p>
        </w:tc>
        <w:tc>
          <w:tcPr>
            <w:tcW w:w="841" w:type="dxa"/>
            <w:tcBorders>
              <w:top w:val="nil"/>
              <w:left w:val="nil"/>
              <w:bottom w:val="single" w:sz="6" w:space="0" w:color="auto"/>
              <w:right w:val="single" w:sz="6" w:space="0" w:color="auto"/>
            </w:tcBorders>
            <w:tcMar>
              <w:top w:w="0" w:type="dxa"/>
              <w:left w:w="105" w:type="dxa"/>
              <w:bottom w:w="0" w:type="dxa"/>
              <w:right w:w="105" w:type="dxa"/>
            </w:tcMar>
            <w:vAlign w:val="center"/>
          </w:tcPr>
          <w:p w:rsidR="00C13D7A" w:rsidRDefault="00933E15">
            <w:r>
              <w:rPr>
                <w:rFonts w:ascii="Arial Unicode MS" w:hAnsi="Arial Unicode MS" w:cs="Arial Unicode MS" w:hint="eastAsia"/>
              </w:rPr>
              <w:t xml:space="preserve">  -</w:t>
            </w:r>
          </w:p>
        </w:tc>
        <w:tc>
          <w:tcPr>
            <w:tcW w:w="914" w:type="dxa"/>
            <w:tcBorders>
              <w:top w:val="nil"/>
              <w:left w:val="nil"/>
              <w:bottom w:val="single" w:sz="6" w:space="0" w:color="auto"/>
              <w:right w:val="single" w:sz="6" w:space="0" w:color="auto"/>
            </w:tcBorders>
            <w:tcMar>
              <w:top w:w="0" w:type="dxa"/>
              <w:left w:w="105" w:type="dxa"/>
              <w:bottom w:w="0" w:type="dxa"/>
              <w:right w:w="105" w:type="dxa"/>
            </w:tcMar>
            <w:vAlign w:val="center"/>
          </w:tcPr>
          <w:p w:rsidR="00C13D7A" w:rsidRDefault="00933E15">
            <w:pPr>
              <w:rPr>
                <w:rFonts w:ascii="Arial Unicode MS" w:hAnsi="Arial Unicode MS" w:cs="Arial Unicode MS"/>
              </w:rPr>
            </w:pPr>
            <w:r>
              <w:rPr>
                <w:rFonts w:ascii="Arial Unicode MS" w:hAnsi="Arial Unicode MS" w:cs="Arial Unicode MS" w:hint="eastAsia"/>
              </w:rPr>
              <w:t>-</w:t>
            </w:r>
          </w:p>
        </w:tc>
      </w:tr>
      <w:tr w:rsidR="00C13D7A">
        <w:trPr>
          <w:trHeight w:val="15"/>
          <w:tblCellSpacing w:w="15" w:type="dxa"/>
        </w:trPr>
        <w:tc>
          <w:tcPr>
            <w:tcW w:w="0" w:type="auto"/>
            <w:vMerge/>
            <w:tcBorders>
              <w:top w:val="nil"/>
              <w:left w:val="single" w:sz="6" w:space="0" w:color="auto"/>
              <w:bottom w:val="single" w:sz="6" w:space="0" w:color="auto"/>
              <w:right w:val="single" w:sz="6" w:space="0" w:color="auto"/>
            </w:tcBorders>
            <w:vAlign w:val="center"/>
          </w:tcPr>
          <w:p w:rsidR="00C13D7A" w:rsidRDefault="00C13D7A">
            <w:pPr>
              <w:rPr>
                <w:rFonts w:ascii="Calibri" w:hAnsi="Calibri" w:cs="Calibri"/>
                <w:sz w:val="24"/>
              </w:rPr>
            </w:pPr>
          </w:p>
        </w:tc>
        <w:tc>
          <w:tcPr>
            <w:tcW w:w="4307" w:type="dxa"/>
            <w:tcBorders>
              <w:top w:val="nil"/>
              <w:left w:val="nil"/>
              <w:bottom w:val="single" w:sz="6" w:space="0" w:color="auto"/>
              <w:right w:val="single" w:sz="6" w:space="0" w:color="auto"/>
            </w:tcBorders>
            <w:tcMar>
              <w:top w:w="0" w:type="dxa"/>
              <w:left w:w="105" w:type="dxa"/>
              <w:bottom w:w="0" w:type="dxa"/>
              <w:right w:w="105" w:type="dxa"/>
            </w:tcMar>
            <w:vAlign w:val="center"/>
          </w:tcPr>
          <w:p w:rsidR="00C13D7A" w:rsidRDefault="00933E15">
            <w:pPr>
              <w:pStyle w:val="af0"/>
              <w:widowControl/>
              <w:spacing w:line="360" w:lineRule="auto"/>
              <w:jc w:val="center"/>
              <w:rPr>
                <w:kern w:val="2"/>
              </w:rPr>
            </w:pPr>
            <w:r>
              <w:rPr>
                <w:color w:val="000000"/>
                <w:kern w:val="2"/>
                <w:sz w:val="21"/>
                <w:szCs w:val="21"/>
              </w:rPr>
              <w:t>营业、办公活动所消耗的水（吨）</w:t>
            </w:r>
          </w:p>
        </w:tc>
        <w:tc>
          <w:tcPr>
            <w:tcW w:w="841" w:type="dxa"/>
            <w:tcBorders>
              <w:top w:val="nil"/>
              <w:left w:val="nil"/>
              <w:bottom w:val="single" w:sz="6" w:space="0" w:color="auto"/>
              <w:right w:val="single" w:sz="6" w:space="0" w:color="auto"/>
            </w:tcBorders>
            <w:tcMar>
              <w:top w:w="0" w:type="dxa"/>
              <w:left w:w="105" w:type="dxa"/>
              <w:bottom w:w="0" w:type="dxa"/>
              <w:right w:w="105" w:type="dxa"/>
            </w:tcMar>
            <w:vAlign w:val="center"/>
          </w:tcPr>
          <w:p w:rsidR="00C13D7A" w:rsidRDefault="00AC05A0">
            <w:r>
              <w:rPr>
                <w:rFonts w:ascii="Arial Unicode MS" w:hAnsi="Arial Unicode MS" w:cs="Arial Unicode MS"/>
              </w:rPr>
              <w:t>25738</w:t>
            </w:r>
          </w:p>
        </w:tc>
        <w:tc>
          <w:tcPr>
            <w:tcW w:w="914" w:type="dxa"/>
            <w:tcBorders>
              <w:top w:val="nil"/>
              <w:left w:val="nil"/>
              <w:bottom w:val="single" w:sz="6" w:space="0" w:color="auto"/>
              <w:right w:val="single" w:sz="6" w:space="0" w:color="auto"/>
            </w:tcBorders>
            <w:tcMar>
              <w:top w:w="0" w:type="dxa"/>
              <w:left w:w="105" w:type="dxa"/>
              <w:bottom w:w="0" w:type="dxa"/>
              <w:right w:w="105" w:type="dxa"/>
            </w:tcMar>
            <w:vAlign w:val="center"/>
          </w:tcPr>
          <w:p w:rsidR="00C13D7A" w:rsidRDefault="00AC05A0">
            <w:r>
              <w:rPr>
                <w:rFonts w:ascii="Arial Unicode MS" w:hAnsi="Arial Unicode MS" w:cs="Arial Unicode MS"/>
              </w:rPr>
              <w:t>42.9</w:t>
            </w:r>
          </w:p>
        </w:tc>
      </w:tr>
      <w:tr w:rsidR="00C13D7A">
        <w:trPr>
          <w:trHeight w:val="15"/>
          <w:tblCellSpacing w:w="15" w:type="dxa"/>
        </w:trPr>
        <w:tc>
          <w:tcPr>
            <w:tcW w:w="2307"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C13D7A" w:rsidRDefault="00933E15">
            <w:pPr>
              <w:pStyle w:val="af0"/>
              <w:widowControl/>
              <w:spacing w:line="360" w:lineRule="auto"/>
              <w:jc w:val="center"/>
              <w:rPr>
                <w:kern w:val="2"/>
              </w:rPr>
            </w:pPr>
            <w:r>
              <w:rPr>
                <w:color w:val="000000"/>
                <w:kern w:val="2"/>
                <w:sz w:val="21"/>
                <w:szCs w:val="21"/>
              </w:rPr>
              <w:t>采购的产品或服务所产生的间接温室气体排放和间接自然资源消耗</w:t>
            </w:r>
          </w:p>
        </w:tc>
        <w:tc>
          <w:tcPr>
            <w:tcW w:w="4307" w:type="dxa"/>
            <w:tcBorders>
              <w:top w:val="nil"/>
              <w:left w:val="nil"/>
              <w:bottom w:val="single" w:sz="6" w:space="0" w:color="auto"/>
              <w:right w:val="single" w:sz="6" w:space="0" w:color="auto"/>
            </w:tcBorders>
            <w:tcMar>
              <w:top w:w="0" w:type="dxa"/>
              <w:left w:w="105" w:type="dxa"/>
              <w:bottom w:w="0" w:type="dxa"/>
              <w:right w:w="105" w:type="dxa"/>
            </w:tcMar>
            <w:vAlign w:val="center"/>
          </w:tcPr>
          <w:p w:rsidR="00C13D7A" w:rsidRDefault="00933E15">
            <w:pPr>
              <w:pStyle w:val="af0"/>
              <w:widowControl/>
              <w:spacing w:line="360" w:lineRule="auto"/>
              <w:jc w:val="center"/>
              <w:rPr>
                <w:kern w:val="2"/>
              </w:rPr>
            </w:pPr>
            <w:r>
              <w:rPr>
                <w:color w:val="000000"/>
                <w:kern w:val="2"/>
                <w:sz w:val="21"/>
                <w:szCs w:val="21"/>
              </w:rPr>
              <w:t>营业、办公所消耗的电力（千瓦时）</w:t>
            </w:r>
          </w:p>
        </w:tc>
        <w:tc>
          <w:tcPr>
            <w:tcW w:w="841" w:type="dxa"/>
            <w:tcBorders>
              <w:top w:val="nil"/>
              <w:left w:val="nil"/>
              <w:bottom w:val="single" w:sz="6" w:space="0" w:color="auto"/>
              <w:right w:val="single" w:sz="6" w:space="0" w:color="auto"/>
            </w:tcBorders>
            <w:tcMar>
              <w:top w:w="0" w:type="dxa"/>
              <w:left w:w="105" w:type="dxa"/>
              <w:bottom w:w="0" w:type="dxa"/>
              <w:right w:w="105" w:type="dxa"/>
            </w:tcMar>
            <w:vAlign w:val="center"/>
          </w:tcPr>
          <w:p w:rsidR="002C682E" w:rsidRPr="002C682E" w:rsidRDefault="002C682E" w:rsidP="002C682E">
            <w:pPr>
              <w:rPr>
                <w:rFonts w:ascii="Arial Unicode MS" w:hAnsi="Arial Unicode MS" w:cs="Arial Unicode MS" w:hint="eastAsia"/>
              </w:rPr>
            </w:pPr>
            <w:r>
              <w:rPr>
                <w:rFonts w:ascii="Arial Unicode MS" w:hAnsi="Arial Unicode MS" w:cs="Arial Unicode MS"/>
              </w:rPr>
              <w:t>3684690</w:t>
            </w:r>
          </w:p>
        </w:tc>
        <w:tc>
          <w:tcPr>
            <w:tcW w:w="914" w:type="dxa"/>
            <w:tcBorders>
              <w:top w:val="nil"/>
              <w:left w:val="nil"/>
              <w:bottom w:val="single" w:sz="6" w:space="0" w:color="auto"/>
              <w:right w:val="single" w:sz="6" w:space="0" w:color="auto"/>
            </w:tcBorders>
            <w:tcMar>
              <w:top w:w="0" w:type="dxa"/>
              <w:left w:w="105" w:type="dxa"/>
              <w:bottom w:w="0" w:type="dxa"/>
              <w:right w:w="105" w:type="dxa"/>
            </w:tcMar>
            <w:vAlign w:val="center"/>
          </w:tcPr>
          <w:p w:rsidR="00C13D7A" w:rsidRDefault="00AC05A0">
            <w:r>
              <w:rPr>
                <w:rFonts w:hint="eastAsia"/>
              </w:rPr>
              <w:t>6</w:t>
            </w:r>
            <w:r>
              <w:t>141.15</w:t>
            </w:r>
          </w:p>
        </w:tc>
      </w:tr>
      <w:tr w:rsidR="00C13D7A">
        <w:trPr>
          <w:trHeight w:val="15"/>
          <w:tblCellSpacing w:w="15" w:type="dxa"/>
        </w:trPr>
        <w:tc>
          <w:tcPr>
            <w:tcW w:w="0" w:type="auto"/>
            <w:vMerge/>
            <w:tcBorders>
              <w:top w:val="nil"/>
              <w:left w:val="single" w:sz="6" w:space="0" w:color="auto"/>
              <w:bottom w:val="single" w:sz="6" w:space="0" w:color="auto"/>
              <w:right w:val="single" w:sz="6" w:space="0" w:color="auto"/>
            </w:tcBorders>
            <w:vAlign w:val="center"/>
          </w:tcPr>
          <w:p w:rsidR="00C13D7A" w:rsidRDefault="00C13D7A">
            <w:pPr>
              <w:rPr>
                <w:rFonts w:ascii="Calibri" w:hAnsi="Calibri" w:cs="Calibri"/>
                <w:sz w:val="24"/>
              </w:rPr>
            </w:pPr>
          </w:p>
        </w:tc>
        <w:tc>
          <w:tcPr>
            <w:tcW w:w="4307" w:type="dxa"/>
            <w:tcBorders>
              <w:top w:val="nil"/>
              <w:left w:val="nil"/>
              <w:bottom w:val="single" w:sz="6" w:space="0" w:color="auto"/>
              <w:right w:val="single" w:sz="6" w:space="0" w:color="auto"/>
            </w:tcBorders>
            <w:tcMar>
              <w:top w:w="0" w:type="dxa"/>
              <w:left w:w="105" w:type="dxa"/>
              <w:bottom w:w="0" w:type="dxa"/>
              <w:right w:w="105" w:type="dxa"/>
            </w:tcMar>
            <w:vAlign w:val="center"/>
          </w:tcPr>
          <w:p w:rsidR="00C13D7A" w:rsidRDefault="00933E15">
            <w:pPr>
              <w:pStyle w:val="af0"/>
              <w:widowControl/>
              <w:spacing w:line="360" w:lineRule="auto"/>
              <w:jc w:val="center"/>
              <w:rPr>
                <w:kern w:val="2"/>
              </w:rPr>
            </w:pPr>
            <w:r>
              <w:rPr>
                <w:color w:val="000000"/>
                <w:kern w:val="2"/>
                <w:sz w:val="21"/>
                <w:szCs w:val="21"/>
              </w:rPr>
              <w:t>营业、办公所使用的纸张（吨）</w:t>
            </w:r>
          </w:p>
        </w:tc>
        <w:tc>
          <w:tcPr>
            <w:tcW w:w="841" w:type="dxa"/>
            <w:tcBorders>
              <w:top w:val="nil"/>
              <w:left w:val="nil"/>
              <w:bottom w:val="single" w:sz="6" w:space="0" w:color="auto"/>
              <w:right w:val="single" w:sz="6" w:space="0" w:color="auto"/>
            </w:tcBorders>
            <w:tcMar>
              <w:top w:w="0" w:type="dxa"/>
              <w:left w:w="105" w:type="dxa"/>
              <w:bottom w:w="0" w:type="dxa"/>
              <w:right w:w="105" w:type="dxa"/>
            </w:tcMar>
            <w:vAlign w:val="center"/>
          </w:tcPr>
          <w:p w:rsidR="00C13D7A" w:rsidRDefault="002C682E">
            <w:pPr>
              <w:rPr>
                <w:rFonts w:ascii="Arial Unicode MS" w:hAnsi="Arial Unicode MS" w:cs="Arial Unicode MS"/>
              </w:rPr>
            </w:pPr>
            <w:r>
              <w:rPr>
                <w:rFonts w:ascii="Arial Unicode MS" w:hAnsi="Arial Unicode MS" w:cs="Arial Unicode MS" w:hint="eastAsia"/>
              </w:rPr>
              <w:t>6</w:t>
            </w:r>
            <w:r>
              <w:rPr>
                <w:rFonts w:ascii="Arial Unicode MS" w:hAnsi="Arial Unicode MS" w:cs="Arial Unicode MS"/>
              </w:rPr>
              <w:t>.62</w:t>
            </w:r>
          </w:p>
        </w:tc>
        <w:tc>
          <w:tcPr>
            <w:tcW w:w="914" w:type="dxa"/>
            <w:tcBorders>
              <w:top w:val="nil"/>
              <w:left w:val="nil"/>
              <w:bottom w:val="single" w:sz="6" w:space="0" w:color="auto"/>
              <w:right w:val="single" w:sz="6" w:space="0" w:color="auto"/>
            </w:tcBorders>
            <w:tcMar>
              <w:top w:w="0" w:type="dxa"/>
              <w:left w:w="105" w:type="dxa"/>
              <w:bottom w:w="0" w:type="dxa"/>
              <w:right w:w="105" w:type="dxa"/>
            </w:tcMar>
            <w:vAlign w:val="center"/>
          </w:tcPr>
          <w:p w:rsidR="00C13D7A" w:rsidRDefault="002C682E">
            <w:pPr>
              <w:rPr>
                <w:rFonts w:ascii="Arial Unicode MS" w:hAnsi="Arial Unicode MS" w:cs="Arial Unicode MS"/>
              </w:rPr>
            </w:pPr>
            <w:r>
              <w:rPr>
                <w:rFonts w:ascii="Arial Unicode MS" w:hAnsi="Arial Unicode MS" w:cs="Arial Unicode MS"/>
              </w:rPr>
              <w:t>0.01</w:t>
            </w:r>
          </w:p>
        </w:tc>
      </w:tr>
      <w:tr w:rsidR="00C13D7A">
        <w:trPr>
          <w:trHeight w:val="15"/>
          <w:tblCellSpacing w:w="15" w:type="dxa"/>
        </w:trPr>
        <w:tc>
          <w:tcPr>
            <w:tcW w:w="0" w:type="auto"/>
            <w:vMerge/>
            <w:tcBorders>
              <w:top w:val="nil"/>
              <w:left w:val="single" w:sz="6" w:space="0" w:color="auto"/>
              <w:bottom w:val="single" w:sz="6" w:space="0" w:color="auto"/>
              <w:right w:val="single" w:sz="6" w:space="0" w:color="auto"/>
            </w:tcBorders>
            <w:vAlign w:val="center"/>
          </w:tcPr>
          <w:p w:rsidR="00C13D7A" w:rsidRDefault="00C13D7A">
            <w:pPr>
              <w:rPr>
                <w:rFonts w:ascii="Calibri" w:hAnsi="Calibri" w:cs="Calibri"/>
                <w:sz w:val="24"/>
              </w:rPr>
            </w:pPr>
          </w:p>
        </w:tc>
        <w:tc>
          <w:tcPr>
            <w:tcW w:w="4307" w:type="dxa"/>
            <w:tcBorders>
              <w:top w:val="nil"/>
              <w:left w:val="nil"/>
              <w:bottom w:val="single" w:sz="6" w:space="0" w:color="auto"/>
              <w:right w:val="single" w:sz="6" w:space="0" w:color="auto"/>
            </w:tcBorders>
            <w:tcMar>
              <w:top w:w="0" w:type="dxa"/>
              <w:left w:w="105" w:type="dxa"/>
              <w:bottom w:w="0" w:type="dxa"/>
              <w:right w:w="105" w:type="dxa"/>
            </w:tcMar>
            <w:vAlign w:val="center"/>
          </w:tcPr>
          <w:p w:rsidR="00C13D7A" w:rsidRDefault="00933E15">
            <w:pPr>
              <w:pStyle w:val="af0"/>
              <w:widowControl/>
              <w:spacing w:line="360" w:lineRule="auto"/>
              <w:jc w:val="center"/>
              <w:rPr>
                <w:kern w:val="2"/>
              </w:rPr>
            </w:pPr>
            <w:r>
              <w:rPr>
                <w:color w:val="000000"/>
                <w:kern w:val="2"/>
                <w:sz w:val="21"/>
                <w:szCs w:val="21"/>
              </w:rPr>
              <w:t>购买的采暖（制冷）服务所消耗的燃料（升）</w:t>
            </w:r>
          </w:p>
        </w:tc>
        <w:tc>
          <w:tcPr>
            <w:tcW w:w="841" w:type="dxa"/>
            <w:tcBorders>
              <w:top w:val="nil"/>
              <w:left w:val="nil"/>
              <w:bottom w:val="single" w:sz="6" w:space="0" w:color="auto"/>
              <w:right w:val="single" w:sz="6" w:space="0" w:color="auto"/>
            </w:tcBorders>
            <w:tcMar>
              <w:top w:w="0" w:type="dxa"/>
              <w:left w:w="105" w:type="dxa"/>
              <w:bottom w:w="0" w:type="dxa"/>
              <w:right w:w="105" w:type="dxa"/>
            </w:tcMar>
            <w:vAlign w:val="center"/>
          </w:tcPr>
          <w:p w:rsidR="00C13D7A" w:rsidRDefault="00933E15">
            <w:pPr>
              <w:rPr>
                <w:rFonts w:ascii="Arial Unicode MS" w:hAnsi="Arial Unicode MS" w:cs="Arial Unicode MS"/>
              </w:rPr>
            </w:pPr>
            <w:r>
              <w:rPr>
                <w:rFonts w:ascii="Arial Unicode MS" w:hAnsi="Arial Unicode MS" w:cs="Arial Unicode MS" w:hint="eastAsia"/>
              </w:rPr>
              <w:t>-</w:t>
            </w:r>
          </w:p>
        </w:tc>
        <w:tc>
          <w:tcPr>
            <w:tcW w:w="914" w:type="dxa"/>
            <w:tcBorders>
              <w:top w:val="nil"/>
              <w:left w:val="nil"/>
              <w:bottom w:val="single" w:sz="6" w:space="0" w:color="auto"/>
              <w:right w:val="single" w:sz="6" w:space="0" w:color="auto"/>
            </w:tcBorders>
            <w:tcMar>
              <w:top w:w="0" w:type="dxa"/>
              <w:left w:w="105" w:type="dxa"/>
              <w:bottom w:w="0" w:type="dxa"/>
              <w:right w:w="105" w:type="dxa"/>
            </w:tcMar>
            <w:vAlign w:val="center"/>
          </w:tcPr>
          <w:p w:rsidR="00C13D7A" w:rsidRDefault="00933E15">
            <w:pPr>
              <w:rPr>
                <w:rFonts w:ascii="Arial Unicode MS" w:hAnsi="Arial Unicode MS" w:cs="Arial Unicode MS"/>
              </w:rPr>
            </w:pPr>
            <w:r>
              <w:rPr>
                <w:rFonts w:ascii="Arial Unicode MS" w:hAnsi="Arial Unicode MS" w:cs="Arial Unicode MS" w:hint="eastAsia"/>
              </w:rPr>
              <w:t>-</w:t>
            </w:r>
          </w:p>
        </w:tc>
      </w:tr>
      <w:tr w:rsidR="00C13D7A">
        <w:trPr>
          <w:trHeight w:val="15"/>
          <w:tblCellSpacing w:w="15" w:type="dxa"/>
        </w:trPr>
        <w:tc>
          <w:tcPr>
            <w:tcW w:w="0" w:type="auto"/>
            <w:vMerge/>
            <w:tcBorders>
              <w:top w:val="nil"/>
              <w:left w:val="single" w:sz="6" w:space="0" w:color="auto"/>
              <w:bottom w:val="single" w:sz="6" w:space="0" w:color="auto"/>
              <w:right w:val="single" w:sz="6" w:space="0" w:color="auto"/>
            </w:tcBorders>
            <w:vAlign w:val="center"/>
          </w:tcPr>
          <w:p w:rsidR="00C13D7A" w:rsidRDefault="00C13D7A">
            <w:pPr>
              <w:rPr>
                <w:rFonts w:ascii="Calibri" w:hAnsi="Calibri" w:cs="Calibri"/>
                <w:sz w:val="24"/>
              </w:rPr>
            </w:pPr>
          </w:p>
        </w:tc>
        <w:tc>
          <w:tcPr>
            <w:tcW w:w="4307" w:type="dxa"/>
            <w:tcBorders>
              <w:top w:val="nil"/>
              <w:left w:val="nil"/>
              <w:bottom w:val="single" w:sz="6" w:space="0" w:color="auto"/>
              <w:right w:val="single" w:sz="6" w:space="0" w:color="auto"/>
            </w:tcBorders>
            <w:tcMar>
              <w:top w:w="0" w:type="dxa"/>
              <w:left w:w="105" w:type="dxa"/>
              <w:bottom w:w="0" w:type="dxa"/>
              <w:right w:w="105" w:type="dxa"/>
            </w:tcMar>
            <w:vAlign w:val="center"/>
          </w:tcPr>
          <w:p w:rsidR="00C13D7A" w:rsidRDefault="00933E15">
            <w:pPr>
              <w:pStyle w:val="af0"/>
              <w:widowControl/>
              <w:spacing w:line="360" w:lineRule="auto"/>
              <w:jc w:val="center"/>
              <w:rPr>
                <w:kern w:val="2"/>
              </w:rPr>
            </w:pPr>
            <w:r>
              <w:rPr>
                <w:color w:val="000000"/>
                <w:kern w:val="2"/>
                <w:sz w:val="21"/>
                <w:szCs w:val="21"/>
              </w:rPr>
              <w:t>雇员因工作需要乘坐公共交通工具所消耗的能源（升）</w:t>
            </w:r>
            <w:r>
              <w:rPr>
                <w:color w:val="000000"/>
                <w:kern w:val="2"/>
                <w:sz w:val="21"/>
                <w:szCs w:val="21"/>
              </w:rPr>
              <w:t>-</w:t>
            </w:r>
            <w:r>
              <w:rPr>
                <w:rFonts w:ascii="宋体" w:hAnsi="宋体"/>
                <w:color w:val="000000"/>
                <w:kern w:val="2"/>
                <w:sz w:val="21"/>
                <w:szCs w:val="21"/>
              </w:rPr>
              <w:t>可选项</w:t>
            </w:r>
          </w:p>
        </w:tc>
        <w:tc>
          <w:tcPr>
            <w:tcW w:w="841" w:type="dxa"/>
            <w:tcBorders>
              <w:top w:val="nil"/>
              <w:left w:val="nil"/>
              <w:bottom w:val="single" w:sz="6" w:space="0" w:color="auto"/>
              <w:right w:val="single" w:sz="6" w:space="0" w:color="auto"/>
            </w:tcBorders>
            <w:tcMar>
              <w:top w:w="0" w:type="dxa"/>
              <w:left w:w="105" w:type="dxa"/>
              <w:bottom w:w="0" w:type="dxa"/>
              <w:right w:w="105" w:type="dxa"/>
            </w:tcMar>
            <w:vAlign w:val="center"/>
          </w:tcPr>
          <w:p w:rsidR="00C13D7A" w:rsidRDefault="00933E15">
            <w:pPr>
              <w:rPr>
                <w:rFonts w:ascii="Arial Unicode MS" w:hAnsi="Arial Unicode MS" w:cs="Arial Unicode MS"/>
              </w:rPr>
            </w:pPr>
            <w:r>
              <w:rPr>
                <w:rFonts w:ascii="Arial Unicode MS" w:hAnsi="Arial Unicode MS" w:cs="Arial Unicode MS" w:hint="eastAsia"/>
              </w:rPr>
              <w:t>-</w:t>
            </w:r>
          </w:p>
        </w:tc>
        <w:tc>
          <w:tcPr>
            <w:tcW w:w="914" w:type="dxa"/>
            <w:tcBorders>
              <w:top w:val="nil"/>
              <w:left w:val="nil"/>
              <w:bottom w:val="single" w:sz="6" w:space="0" w:color="auto"/>
              <w:right w:val="single" w:sz="6" w:space="0" w:color="auto"/>
            </w:tcBorders>
            <w:tcMar>
              <w:top w:w="0" w:type="dxa"/>
              <w:left w:w="105" w:type="dxa"/>
              <w:bottom w:w="0" w:type="dxa"/>
              <w:right w:w="105" w:type="dxa"/>
            </w:tcMar>
            <w:vAlign w:val="center"/>
          </w:tcPr>
          <w:p w:rsidR="00C13D7A" w:rsidRDefault="00933E15">
            <w:pPr>
              <w:rPr>
                <w:rFonts w:ascii="Arial Unicode MS" w:hAnsi="Arial Unicode MS" w:cs="Arial Unicode MS"/>
              </w:rPr>
            </w:pPr>
            <w:r>
              <w:rPr>
                <w:rFonts w:ascii="Arial Unicode MS" w:hAnsi="Arial Unicode MS" w:cs="Arial Unicode MS" w:hint="eastAsia"/>
              </w:rPr>
              <w:t>-</w:t>
            </w:r>
          </w:p>
        </w:tc>
      </w:tr>
      <w:tr w:rsidR="00C13D7A">
        <w:trPr>
          <w:trHeight w:val="15"/>
          <w:tblCellSpacing w:w="15" w:type="dxa"/>
        </w:trPr>
        <w:tc>
          <w:tcPr>
            <w:tcW w:w="2307"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C13D7A" w:rsidRDefault="00933E15">
            <w:pPr>
              <w:pStyle w:val="af0"/>
              <w:widowControl/>
              <w:spacing w:line="360" w:lineRule="auto"/>
              <w:jc w:val="center"/>
              <w:rPr>
                <w:kern w:val="2"/>
              </w:rPr>
            </w:pPr>
            <w:r>
              <w:rPr>
                <w:color w:val="000000"/>
                <w:kern w:val="2"/>
                <w:sz w:val="21"/>
                <w:szCs w:val="21"/>
              </w:rPr>
              <w:t>金融机构环保措施所产生的效果</w:t>
            </w:r>
          </w:p>
        </w:tc>
        <w:tc>
          <w:tcPr>
            <w:tcW w:w="4307" w:type="dxa"/>
            <w:tcBorders>
              <w:top w:val="nil"/>
              <w:left w:val="nil"/>
              <w:bottom w:val="single" w:sz="6" w:space="0" w:color="auto"/>
              <w:right w:val="single" w:sz="6" w:space="0" w:color="auto"/>
            </w:tcBorders>
            <w:tcMar>
              <w:top w:w="0" w:type="dxa"/>
              <w:left w:w="105" w:type="dxa"/>
              <w:bottom w:w="0" w:type="dxa"/>
              <w:right w:w="105" w:type="dxa"/>
            </w:tcMar>
            <w:vAlign w:val="center"/>
          </w:tcPr>
          <w:p w:rsidR="00C13D7A" w:rsidRDefault="00933E15">
            <w:pPr>
              <w:pStyle w:val="af0"/>
              <w:widowControl/>
              <w:spacing w:line="360" w:lineRule="auto"/>
              <w:jc w:val="center"/>
              <w:rPr>
                <w:kern w:val="2"/>
              </w:rPr>
            </w:pPr>
            <w:r>
              <w:rPr>
                <w:color w:val="000000"/>
                <w:kern w:val="2"/>
                <w:sz w:val="21"/>
                <w:szCs w:val="21"/>
              </w:rPr>
              <w:t>为提升员工及社会公众的环保意识所举办的培训活动或公益活动（人次）</w:t>
            </w:r>
          </w:p>
        </w:tc>
        <w:tc>
          <w:tcPr>
            <w:tcW w:w="841" w:type="dxa"/>
            <w:tcBorders>
              <w:top w:val="nil"/>
              <w:left w:val="nil"/>
              <w:bottom w:val="single" w:sz="6" w:space="0" w:color="auto"/>
              <w:right w:val="single" w:sz="6" w:space="0" w:color="auto"/>
            </w:tcBorders>
            <w:tcMar>
              <w:top w:w="0" w:type="dxa"/>
              <w:left w:w="105" w:type="dxa"/>
              <w:bottom w:w="0" w:type="dxa"/>
              <w:right w:w="105" w:type="dxa"/>
            </w:tcMar>
            <w:vAlign w:val="center"/>
          </w:tcPr>
          <w:p w:rsidR="00C13D7A" w:rsidRDefault="00933E15">
            <w:r>
              <w:rPr>
                <w:rFonts w:ascii="Arial Unicode MS" w:hAnsi="Arial Unicode MS" w:cs="Arial Unicode MS"/>
              </w:rPr>
              <w:t>1</w:t>
            </w:r>
            <w:r w:rsidR="00CD448A">
              <w:rPr>
                <w:rFonts w:ascii="Arial Unicode MS" w:hAnsi="Arial Unicode MS" w:cs="Arial Unicode MS"/>
              </w:rPr>
              <w:t>44</w:t>
            </w:r>
            <w:r>
              <w:rPr>
                <w:rFonts w:ascii="Arial Unicode MS" w:hAnsi="Arial Unicode MS" w:cs="Arial Unicode MS"/>
              </w:rPr>
              <w:t>00</w:t>
            </w:r>
          </w:p>
        </w:tc>
        <w:tc>
          <w:tcPr>
            <w:tcW w:w="914" w:type="dxa"/>
            <w:tcBorders>
              <w:top w:val="nil"/>
              <w:left w:val="nil"/>
              <w:bottom w:val="single" w:sz="6" w:space="0" w:color="auto"/>
              <w:right w:val="single" w:sz="6" w:space="0" w:color="auto"/>
            </w:tcBorders>
            <w:tcMar>
              <w:top w:w="0" w:type="dxa"/>
              <w:left w:w="105" w:type="dxa"/>
              <w:bottom w:w="0" w:type="dxa"/>
              <w:right w:w="105" w:type="dxa"/>
            </w:tcMar>
            <w:vAlign w:val="center"/>
          </w:tcPr>
          <w:p w:rsidR="00C13D7A" w:rsidRDefault="00933E15">
            <w:r>
              <w:rPr>
                <w:rFonts w:ascii="Arial Unicode MS" w:hAnsi="Arial Unicode MS" w:cs="Arial Unicode MS"/>
              </w:rPr>
              <w:t>2</w:t>
            </w:r>
            <w:r w:rsidR="00CD448A">
              <w:rPr>
                <w:rFonts w:ascii="Arial Unicode MS" w:hAnsi="Arial Unicode MS" w:cs="Arial Unicode MS"/>
              </w:rPr>
              <w:t>4</w:t>
            </w:r>
            <w:bookmarkStart w:id="138" w:name="_GoBack"/>
            <w:bookmarkEnd w:id="138"/>
          </w:p>
        </w:tc>
      </w:tr>
    </w:tbl>
    <w:p w:rsidR="00C13D7A" w:rsidRDefault="00933E15">
      <w:pPr>
        <w:pStyle w:val="a0"/>
        <w:spacing w:beforeLines="0" w:before="0" w:afterLines="0" w:after="0" w:line="580" w:lineRule="exact"/>
        <w:ind w:leftChars="67" w:left="141"/>
        <w:jc w:val="both"/>
        <w:outlineLvl w:val="1"/>
        <w:rPr>
          <w:rFonts w:ascii="楷体" w:eastAsia="楷体" w:hAnsi="楷体"/>
          <w:b/>
          <w:sz w:val="32"/>
          <w:szCs w:val="32"/>
          <w:lang w:val="zh-TW" w:eastAsia="zh-TW"/>
        </w:rPr>
      </w:pPr>
      <w:bookmarkStart w:id="139" w:name="_Toc157583870"/>
      <w:r>
        <w:rPr>
          <w:rFonts w:ascii="楷体" w:eastAsia="楷体" w:hAnsi="楷体" w:hint="eastAsia"/>
          <w:b/>
          <w:sz w:val="32"/>
          <w:szCs w:val="32"/>
          <w:lang w:val="zh-TW" w:eastAsia="zh-TW"/>
        </w:rPr>
        <w:t>本机构环保措施所产生的效果</w:t>
      </w:r>
      <w:bookmarkEnd w:id="139"/>
    </w:p>
    <w:p w:rsidR="00C13D7A" w:rsidRDefault="00933E15">
      <w:pPr>
        <w:spacing w:line="580" w:lineRule="exact"/>
        <w:ind w:firstLineChars="200" w:firstLine="640"/>
        <w:rPr>
          <w:rFonts w:ascii="仿宋_GB2312" w:eastAsia="仿宋_GB2312" w:hAnsi="宋体" w:cs="黑体"/>
          <w:sz w:val="32"/>
          <w:szCs w:val="32"/>
        </w:rPr>
      </w:pPr>
      <w:r>
        <w:rPr>
          <w:rFonts w:ascii="仿宋_GB2312" w:eastAsia="仿宋_GB2312" w:hAnsi="宋体" w:cs="黑体" w:hint="eastAsia"/>
          <w:sz w:val="32"/>
          <w:szCs w:val="32"/>
        </w:rPr>
        <w:t>本行切实</w:t>
      </w:r>
      <w:proofErr w:type="gramStart"/>
      <w:r>
        <w:rPr>
          <w:rFonts w:ascii="仿宋_GB2312" w:eastAsia="仿宋_GB2312" w:hAnsi="宋体" w:cs="黑体" w:hint="eastAsia"/>
          <w:sz w:val="32"/>
          <w:szCs w:val="32"/>
        </w:rPr>
        <w:t>践行</w:t>
      </w:r>
      <w:proofErr w:type="gramEnd"/>
      <w:r>
        <w:rPr>
          <w:rFonts w:ascii="仿宋_GB2312" w:eastAsia="仿宋_GB2312" w:hAnsi="宋体" w:cs="黑体" w:hint="eastAsia"/>
          <w:sz w:val="32"/>
          <w:szCs w:val="32"/>
        </w:rPr>
        <w:t>低碳环保、节能减排的可持续发展理念，在遵守国家及地区有关法律法规的基础上，亦积极</w:t>
      </w:r>
      <w:proofErr w:type="gramStart"/>
      <w:r>
        <w:rPr>
          <w:rFonts w:ascii="仿宋_GB2312" w:eastAsia="仿宋_GB2312" w:hAnsi="宋体" w:cs="黑体" w:hint="eastAsia"/>
          <w:sz w:val="32"/>
          <w:szCs w:val="32"/>
        </w:rPr>
        <w:t>践行</w:t>
      </w:r>
      <w:proofErr w:type="gramEnd"/>
      <w:r>
        <w:rPr>
          <w:rFonts w:ascii="仿宋_GB2312" w:eastAsia="仿宋_GB2312" w:hAnsi="宋体" w:cs="黑体" w:hint="eastAsia"/>
          <w:sz w:val="32"/>
          <w:szCs w:val="32"/>
        </w:rPr>
        <w:t>绿色采购理念，提升员工的环境保护意识，落实各项绿色办公措施，助力环保公益事业的发展。同时作为一家金融机构，本公司亦不断推进绿色信贷类业务，实现多维度节能减排，履行环境责任。</w:t>
      </w:r>
      <w:r>
        <w:rPr>
          <w:rFonts w:ascii="仿宋_GB2312" w:eastAsia="仿宋_GB2312" w:hAnsi="宋体" w:hint="eastAsia"/>
          <w:bCs/>
          <w:sz w:val="32"/>
          <w:szCs w:val="32"/>
          <w:lang w:bidi="zh-CN"/>
        </w:rPr>
        <w:t>本行始终坚持“建设绿色企业，坚持绿色经营”的理念，倡导步行出入，降低电梯的使用率，本年度为减少污染物的排放，针对单位老旧超标排放车辆进行报废换新处理，优化了公车使用，严控公务车排量，减少公车的使用频率，倡导员工购置新能源汽车，降低对能源资源消耗，合理</w:t>
      </w:r>
      <w:r>
        <w:rPr>
          <w:rFonts w:ascii="仿宋_GB2312" w:eastAsia="仿宋_GB2312" w:hAnsi="宋体" w:hint="eastAsia"/>
          <w:bCs/>
          <w:sz w:val="32"/>
          <w:szCs w:val="32"/>
          <w:lang w:bidi="zh-CN"/>
        </w:rPr>
        <w:lastRenderedPageBreak/>
        <w:t>使用资源，倡导降低人力成本、减少资源消耗、节电节水节能、绿色出行等可持续发展理念，全行人均用水、用电、用纸均低于去年同期。为提高水资源使用效率，本行定期检查办公场所各水管线的设备陈旧情况，并设有专人负责设备的日常维护保养。通过安装节水、防溢装置，降低水资源的浪费。在水资源节约宣传方面，通过制作节水宣传标语，并利用传媒主动进行宣传引导。</w:t>
      </w:r>
      <w:r>
        <w:rPr>
          <w:rFonts w:ascii="仿宋_GB2312" w:eastAsia="仿宋_GB2312" w:hAnsi="宋体" w:hint="eastAsia"/>
          <w:bCs/>
          <w:sz w:val="32"/>
          <w:szCs w:val="32"/>
        </w:rPr>
        <w:t>通过开展青春绿色跑活动，引领全行员工低碳出行，降低碳排放量，提升全行的绿色发展理念，促进绿色金融与业务发展同进行。</w:t>
      </w:r>
    </w:p>
    <w:p w:rsidR="00C13D7A" w:rsidRDefault="00933E15">
      <w:pPr>
        <w:pStyle w:val="a0"/>
        <w:spacing w:beforeLines="0" w:before="0" w:afterLines="0" w:after="0" w:line="580" w:lineRule="exact"/>
        <w:ind w:leftChars="67" w:left="141"/>
        <w:jc w:val="both"/>
        <w:outlineLvl w:val="1"/>
        <w:rPr>
          <w:rFonts w:ascii="楷体" w:eastAsia="楷体" w:hAnsi="楷体"/>
          <w:b/>
          <w:sz w:val="32"/>
          <w:szCs w:val="32"/>
          <w:lang w:val="zh-TW" w:eastAsia="zh-TW"/>
        </w:rPr>
      </w:pPr>
      <w:bookmarkStart w:id="140" w:name="_Toc157583871"/>
      <w:r>
        <w:rPr>
          <w:rFonts w:ascii="楷体" w:eastAsia="楷体" w:hAnsi="楷体" w:hint="eastAsia"/>
          <w:b/>
          <w:sz w:val="32"/>
          <w:szCs w:val="32"/>
          <w:lang w:val="zh-TW" w:eastAsia="zh-TW"/>
        </w:rPr>
        <w:t>经营活动环境影响的计算</w:t>
      </w:r>
      <w:bookmarkEnd w:id="140"/>
    </w:p>
    <w:p w:rsidR="00C13D7A" w:rsidRDefault="00933E15">
      <w:pPr>
        <w:spacing w:line="580" w:lineRule="exact"/>
        <w:ind w:firstLineChars="200" w:firstLine="640"/>
        <w:rPr>
          <w:rFonts w:ascii="仿宋_GB2312" w:eastAsia="仿宋_GB2312" w:hAnsi="宋体" w:cs="黑体"/>
          <w:sz w:val="32"/>
          <w:szCs w:val="32"/>
        </w:rPr>
      </w:pPr>
      <w:r>
        <w:rPr>
          <w:rFonts w:ascii="仿宋_GB2312" w:eastAsia="仿宋_GB2312" w:hAnsi="宋体" w:hint="eastAsia"/>
          <w:sz w:val="32"/>
          <w:szCs w:val="32"/>
        </w:rPr>
        <w:t>本行未来将定期公布经营活动的碳足迹以及全职雇员的人均碳足迹；本行</w:t>
      </w:r>
      <w:r>
        <w:rPr>
          <w:rFonts w:ascii="仿宋_GB2312" w:eastAsia="仿宋_GB2312" w:hAnsi="宋体" w:hint="eastAsia"/>
          <w:sz w:val="32"/>
          <w:szCs w:val="32"/>
          <w:lang w:val="zh-TW"/>
        </w:rPr>
        <w:t>所采取的统计口径为</w:t>
      </w:r>
      <w:r>
        <w:rPr>
          <w:rFonts w:ascii="仿宋_GB2312" w:eastAsia="仿宋_GB2312" w:hAnsi="宋体" w:hint="eastAsia"/>
          <w:sz w:val="32"/>
          <w:szCs w:val="32"/>
        </w:rPr>
        <w:t>本行按照公允/通行的计算标准</w:t>
      </w:r>
      <w:r>
        <w:rPr>
          <w:rFonts w:ascii="仿宋_GB2312" w:eastAsia="仿宋_GB2312" w:hAnsi="宋体" w:hint="eastAsia"/>
          <w:sz w:val="32"/>
          <w:szCs w:val="32"/>
          <w:lang w:val="zh-TW"/>
        </w:rPr>
        <w:t>；计算方法为：排放因子法，根据温室气体排放量为活动数据与温室气体排放因子的乘积，见式： </w:t>
      </w:r>
    </w:p>
    <w:p w:rsidR="00C13D7A" w:rsidRDefault="00933E15">
      <w:pPr>
        <w:pStyle w:val="Af6"/>
        <w:spacing w:line="580" w:lineRule="exact"/>
        <w:jc w:val="center"/>
        <w:rPr>
          <w:rFonts w:ascii="仿宋_GB2312" w:eastAsia="仿宋_GB2312" w:hAnsi="宋体" w:cs="Times New Roman"/>
          <w:color w:val="auto"/>
          <w:sz w:val="32"/>
          <w:szCs w:val="32"/>
          <w:lang w:val="zh-TW"/>
        </w:rPr>
      </w:pPr>
      <w:r>
        <w:rPr>
          <w:rFonts w:ascii="仿宋_GB2312" w:eastAsia="仿宋_GB2312" w:hAnsi="宋体" w:cs="Times New Roman" w:hint="eastAsia"/>
          <w:color w:val="auto"/>
          <w:sz w:val="32"/>
          <w:szCs w:val="32"/>
          <w:lang w:val="zh-TW"/>
        </w:rPr>
        <w:t>EGHG=AD × EF </w:t>
      </w:r>
      <w:r>
        <w:rPr>
          <w:rFonts w:ascii="仿宋_GB2312" w:eastAsia="仿宋_GB2312" w:hAnsi="宋体" w:cs="楷体" w:hint="eastAsia"/>
          <w:color w:val="auto"/>
          <w:sz w:val="32"/>
          <w:szCs w:val="32"/>
          <w:lang w:val="zh-TW"/>
        </w:rPr>
        <w:t>×</w:t>
      </w:r>
      <w:r>
        <w:rPr>
          <w:rFonts w:ascii="仿宋_GB2312" w:eastAsia="仿宋_GB2312" w:hAnsi="宋体" w:cs="Times New Roman" w:hint="eastAsia"/>
          <w:color w:val="auto"/>
          <w:sz w:val="32"/>
          <w:szCs w:val="32"/>
          <w:lang w:val="zh-TW"/>
        </w:rPr>
        <w:t> GWP </w:t>
      </w:r>
    </w:p>
    <w:p w:rsidR="00C13D7A" w:rsidRDefault="00933E15">
      <w:pPr>
        <w:pStyle w:val="Af6"/>
        <w:spacing w:line="580" w:lineRule="exact"/>
        <w:jc w:val="left"/>
        <w:rPr>
          <w:rFonts w:ascii="仿宋_GB2312" w:eastAsia="仿宋_GB2312" w:hAnsi="宋体" w:cs="Times New Roman"/>
          <w:color w:val="auto"/>
          <w:sz w:val="32"/>
          <w:szCs w:val="32"/>
          <w:lang w:val="zh-TW" w:eastAsia="zh-TW"/>
        </w:rPr>
      </w:pPr>
      <w:r>
        <w:rPr>
          <w:rFonts w:ascii="仿宋_GB2312" w:eastAsia="仿宋_GB2312" w:hAnsi="宋体" w:cs="Times New Roman" w:hint="eastAsia"/>
          <w:color w:val="auto"/>
          <w:sz w:val="32"/>
          <w:szCs w:val="32"/>
          <w:lang w:val="zh-TW" w:eastAsia="zh-TW"/>
        </w:rPr>
        <w:t>式中： </w:t>
      </w:r>
    </w:p>
    <w:p w:rsidR="00C13D7A" w:rsidRDefault="00933E15">
      <w:pPr>
        <w:pStyle w:val="Af6"/>
        <w:spacing w:line="580" w:lineRule="exact"/>
        <w:rPr>
          <w:rFonts w:ascii="仿宋_GB2312" w:eastAsia="仿宋_GB2312" w:hAnsi="宋体" w:cs="Times New Roman"/>
          <w:color w:val="auto"/>
          <w:sz w:val="32"/>
          <w:szCs w:val="32"/>
          <w:lang w:val="zh-TW" w:eastAsia="zh-TW"/>
        </w:rPr>
      </w:pPr>
      <w:r>
        <w:rPr>
          <w:rFonts w:ascii="仿宋_GB2312" w:eastAsia="仿宋_GB2312" w:hAnsi="宋体" w:cs="Times New Roman" w:hint="eastAsia"/>
          <w:color w:val="auto"/>
          <w:sz w:val="32"/>
          <w:szCs w:val="32"/>
          <w:lang w:val="zh-TW" w:eastAsia="zh-TW"/>
        </w:rPr>
        <w:t>EGHG ——温室气体排放量，单位为吨二氧化碳当量(tCO2e)； </w:t>
      </w:r>
    </w:p>
    <w:p w:rsidR="00C13D7A" w:rsidRDefault="00933E15">
      <w:pPr>
        <w:pStyle w:val="Af6"/>
        <w:spacing w:line="580" w:lineRule="exact"/>
        <w:rPr>
          <w:rFonts w:ascii="仿宋_GB2312" w:eastAsia="仿宋_GB2312" w:hAnsi="宋体" w:cs="Times New Roman"/>
          <w:color w:val="auto"/>
          <w:sz w:val="32"/>
          <w:szCs w:val="32"/>
          <w:lang w:val="zh-TW" w:eastAsia="zh-TW"/>
        </w:rPr>
      </w:pPr>
      <w:r>
        <w:rPr>
          <w:rFonts w:ascii="仿宋_GB2312" w:eastAsia="仿宋_GB2312" w:hAnsi="宋体" w:cs="Times New Roman" w:hint="eastAsia"/>
          <w:color w:val="auto"/>
          <w:sz w:val="32"/>
          <w:szCs w:val="32"/>
          <w:lang w:val="zh-TW" w:eastAsia="zh-TW"/>
        </w:rPr>
        <w:t>AD ——温室气体活动数据，单位根据具体排放源确定； </w:t>
      </w:r>
    </w:p>
    <w:p w:rsidR="00C13D7A" w:rsidRDefault="00933E15">
      <w:pPr>
        <w:pStyle w:val="Af6"/>
        <w:spacing w:line="580" w:lineRule="exact"/>
        <w:rPr>
          <w:rFonts w:ascii="仿宋_GB2312" w:eastAsia="仿宋_GB2312" w:hAnsi="宋体" w:cs="Times New Roman"/>
          <w:color w:val="auto"/>
          <w:sz w:val="32"/>
          <w:szCs w:val="32"/>
          <w:lang w:val="zh-TW" w:eastAsia="zh-TW"/>
        </w:rPr>
      </w:pPr>
      <w:r>
        <w:rPr>
          <w:rFonts w:ascii="仿宋_GB2312" w:eastAsia="仿宋_GB2312" w:hAnsi="宋体" w:cs="Times New Roman" w:hint="eastAsia"/>
          <w:color w:val="auto"/>
          <w:sz w:val="32"/>
          <w:szCs w:val="32"/>
          <w:lang w:val="zh-TW" w:eastAsia="zh-TW"/>
        </w:rPr>
        <w:t>EF ——温室气体排放因子，单位与活动数据的单位相匹配； </w:t>
      </w:r>
    </w:p>
    <w:p w:rsidR="00C13D7A" w:rsidRDefault="00933E15">
      <w:pPr>
        <w:pStyle w:val="Af6"/>
        <w:spacing w:line="580" w:lineRule="exact"/>
        <w:ind w:left="1600" w:hangingChars="500" w:hanging="1600"/>
        <w:rPr>
          <w:rFonts w:ascii="仿宋_GB2312" w:eastAsia="仿宋_GB2312" w:hAnsi="宋体" w:cs="Times New Roman"/>
          <w:color w:val="auto"/>
          <w:sz w:val="32"/>
          <w:szCs w:val="32"/>
          <w:lang w:val="zh-TW" w:eastAsia="zh-TW"/>
        </w:rPr>
      </w:pPr>
      <w:r>
        <w:rPr>
          <w:rFonts w:ascii="仿宋_GB2312" w:eastAsia="仿宋_GB2312" w:hAnsi="宋体" w:cs="Times New Roman" w:hint="eastAsia"/>
          <w:color w:val="auto"/>
          <w:sz w:val="32"/>
          <w:szCs w:val="32"/>
          <w:lang w:val="zh-TW" w:eastAsia="zh-TW"/>
        </w:rPr>
        <w:t>GWP ——全球变暖潜势，数值可参考政府间气候变化专门委员会（IPCC）提供的数据。</w:t>
      </w:r>
    </w:p>
    <w:p w:rsidR="00C13D7A" w:rsidRDefault="00933E15">
      <w:pPr>
        <w:pStyle w:val="Af6"/>
        <w:spacing w:line="580" w:lineRule="exact"/>
        <w:jc w:val="left"/>
        <w:rPr>
          <w:rFonts w:ascii="仿宋_GB2312" w:eastAsia="仿宋_GB2312" w:hAnsi="宋体" w:cs="Times New Roman"/>
          <w:color w:val="auto"/>
          <w:lang w:val="zh-TW" w:eastAsia="zh-TW"/>
        </w:rPr>
      </w:pPr>
      <w:r>
        <w:rPr>
          <w:rFonts w:ascii="仿宋_GB2312" w:eastAsia="仿宋_GB2312" w:hAnsi="宋体" w:cs="Times New Roman" w:hint="eastAsia"/>
          <w:color w:val="auto"/>
          <w:lang w:val="zh-TW" w:eastAsia="zh-TW"/>
        </w:rPr>
        <w:t>注：</w:t>
      </w:r>
    </w:p>
    <w:p w:rsidR="00C13D7A" w:rsidRDefault="00933E15">
      <w:pPr>
        <w:pStyle w:val="Af6"/>
        <w:spacing w:line="580" w:lineRule="exact"/>
        <w:rPr>
          <w:rFonts w:ascii="仿宋_GB2312" w:eastAsia="仿宋_GB2312" w:hAnsi="宋体"/>
          <w:lang w:val="zh-TW" w:eastAsia="zh-TW" w:bidi="zh-CN"/>
        </w:rPr>
      </w:pPr>
      <w:r>
        <w:rPr>
          <w:rFonts w:ascii="仿宋_GB2312" w:eastAsia="仿宋_GB2312" w:hAnsi="宋体" w:cs="Times New Roman" w:hint="eastAsia"/>
          <w:color w:val="auto"/>
          <w:lang w:val="zh-TW"/>
        </w:rPr>
        <w:t>1、</w:t>
      </w:r>
      <w:r>
        <w:rPr>
          <w:rFonts w:ascii="仿宋_GB2312" w:eastAsia="仿宋_GB2312" w:hAnsi="宋体" w:cs="Times New Roman" w:hint="eastAsia"/>
          <w:color w:val="auto"/>
          <w:lang w:val="zh-TW" w:eastAsia="zh-TW"/>
        </w:rPr>
        <w:t>在计算燃料燃烧排放二氧化碳时，排放因子也可为含碳量、碳氧化率及二氧化碳折算系数（44/12）的乘积。</w:t>
      </w:r>
    </w:p>
    <w:p w:rsidR="00C13D7A" w:rsidRDefault="00933E15">
      <w:pPr>
        <w:pStyle w:val="Af6"/>
        <w:spacing w:line="580" w:lineRule="exact"/>
        <w:jc w:val="left"/>
        <w:rPr>
          <w:rFonts w:ascii="仿宋_GB2312" w:eastAsia="仿宋_GB2312" w:hAnsi="宋体"/>
          <w:lang w:val="zh-TW" w:eastAsia="zh-TW" w:bidi="zh-CN"/>
        </w:rPr>
      </w:pPr>
      <w:r>
        <w:rPr>
          <w:rFonts w:ascii="仿宋_GB2312" w:eastAsia="仿宋_GB2312" w:hAnsi="宋体" w:hint="eastAsia"/>
          <w:lang w:val="zh-TW" w:bidi="zh-CN"/>
        </w:rPr>
        <w:lastRenderedPageBreak/>
        <w:t>2、</w:t>
      </w:r>
      <w:r>
        <w:rPr>
          <w:rFonts w:ascii="仿宋_GB2312" w:eastAsia="仿宋_GB2312" w:hAnsi="宋体" w:hint="eastAsia"/>
          <w:lang w:val="zh-TW" w:eastAsia="zh-TW" w:bidi="zh-CN"/>
        </w:rPr>
        <w:t>基于本</w:t>
      </w:r>
      <w:r>
        <w:rPr>
          <w:rFonts w:ascii="仿宋_GB2312" w:eastAsia="仿宋_GB2312" w:hAnsi="宋体" w:hint="eastAsia"/>
          <w:lang w:val="zh-TW" w:bidi="zh-CN"/>
        </w:rPr>
        <w:t>行</w:t>
      </w:r>
      <w:r>
        <w:rPr>
          <w:rFonts w:ascii="仿宋_GB2312" w:eastAsia="仿宋_GB2312" w:hAnsi="宋体" w:hint="eastAsia"/>
          <w:lang w:val="zh-TW" w:eastAsia="zh-TW" w:bidi="zh-CN"/>
        </w:rPr>
        <w:t>业务性质，温室气体排放主要源自外购电力及化石燃料燃烧。温室气体清单包括二氧化碳、甲烷和氧化亚氮。温室气体排放数据按照二氧化碳当量呈列，根据中国国家发展与改革委员会刊发的《2015 中国区域电网基准线排放因子》及政府间气候变化专门委员会（IPCC）刊发的《2006 年 IPCC 国家温室气体清单指南》进行核算。</w:t>
      </w:r>
    </w:p>
    <w:p w:rsidR="00C13D7A" w:rsidRDefault="00933E15">
      <w:pPr>
        <w:pStyle w:val="Af6"/>
        <w:spacing w:line="580" w:lineRule="exact"/>
        <w:jc w:val="left"/>
        <w:rPr>
          <w:rFonts w:ascii="仿宋_GB2312" w:eastAsia="仿宋_GB2312" w:hAnsi="宋体"/>
          <w:lang w:val="zh-TW" w:eastAsia="zh-TW" w:bidi="zh-CN"/>
        </w:rPr>
      </w:pPr>
      <w:r>
        <w:rPr>
          <w:rFonts w:ascii="仿宋_GB2312" w:eastAsia="仿宋_GB2312" w:hAnsi="宋体" w:hint="eastAsia"/>
          <w:lang w:val="zh-TW" w:eastAsia="zh-TW" w:bidi="zh-CN"/>
        </w:rPr>
        <w:t>3</w:t>
      </w:r>
      <w:r>
        <w:rPr>
          <w:rFonts w:ascii="仿宋_GB2312" w:eastAsia="仿宋_GB2312" w:hAnsi="宋体" w:hint="eastAsia"/>
          <w:lang w:val="zh-TW" w:bidi="zh-CN"/>
        </w:rPr>
        <w:t>、</w:t>
      </w:r>
      <w:r>
        <w:rPr>
          <w:rFonts w:ascii="仿宋_GB2312" w:eastAsia="仿宋_GB2312" w:hAnsi="宋体" w:hint="eastAsia"/>
          <w:lang w:val="zh-TW" w:eastAsia="zh-TW" w:bidi="zh-CN"/>
        </w:rPr>
        <w:t>本</w:t>
      </w:r>
      <w:r>
        <w:rPr>
          <w:rFonts w:ascii="仿宋_GB2312" w:eastAsia="仿宋_GB2312" w:hAnsi="宋体" w:hint="eastAsia"/>
          <w:lang w:val="zh-TW" w:bidi="zh-CN"/>
        </w:rPr>
        <w:t>行</w:t>
      </w:r>
      <w:r>
        <w:rPr>
          <w:rFonts w:ascii="仿宋_GB2312" w:eastAsia="仿宋_GB2312" w:hAnsi="宋体" w:hint="eastAsia"/>
          <w:lang w:val="zh-TW" w:eastAsia="zh-TW" w:bidi="zh-CN"/>
        </w:rPr>
        <w:t>主要能源消耗来源为天然气、汽油、柴油、煤气和外购电力。</w:t>
      </w:r>
    </w:p>
    <w:p w:rsidR="00C13D7A" w:rsidRDefault="00933E15">
      <w:pPr>
        <w:pStyle w:val="Af6"/>
        <w:spacing w:line="580" w:lineRule="exact"/>
        <w:jc w:val="left"/>
        <w:rPr>
          <w:rFonts w:ascii="仿宋_GB2312" w:eastAsia="仿宋_GB2312" w:hAnsi="宋体"/>
          <w:lang w:val="zh-TW" w:bidi="zh-CN"/>
        </w:rPr>
      </w:pPr>
      <w:r>
        <w:rPr>
          <w:rFonts w:ascii="仿宋_GB2312" w:eastAsia="仿宋_GB2312" w:hAnsi="宋体" w:hint="eastAsia"/>
          <w:lang w:val="zh-TW" w:eastAsia="zh-TW" w:bidi="zh-CN"/>
        </w:rPr>
        <w:t>4</w:t>
      </w:r>
      <w:r>
        <w:rPr>
          <w:rFonts w:ascii="仿宋_GB2312" w:eastAsia="仿宋_GB2312" w:hAnsi="宋体" w:hint="eastAsia"/>
          <w:lang w:val="zh-TW" w:bidi="zh-CN"/>
        </w:rPr>
        <w:t>、</w:t>
      </w:r>
      <w:r>
        <w:rPr>
          <w:rFonts w:ascii="仿宋_GB2312" w:eastAsia="仿宋_GB2312" w:hAnsi="宋体" w:hint="eastAsia"/>
          <w:lang w:val="zh-TW" w:eastAsia="zh-TW" w:bidi="zh-CN"/>
        </w:rPr>
        <w:t>能源消耗量数据是根据电力及燃料的消耗量及中华人民共和国国家质量监督检疫总局及中国国家标准化管理委员会刊发的《综合能耗计算通则（GB/T 2589-2008 ）》提供的有关转换因子进行计算</w:t>
      </w:r>
      <w:r>
        <w:rPr>
          <w:rFonts w:ascii="仿宋_GB2312" w:eastAsia="仿宋_GB2312" w:hAnsi="宋体" w:hint="eastAsia"/>
          <w:lang w:val="zh-TW" w:bidi="zh-CN"/>
        </w:rPr>
        <w:t>。</w:t>
      </w:r>
    </w:p>
    <w:p w:rsidR="00C13D7A" w:rsidRDefault="00933E15">
      <w:pPr>
        <w:pStyle w:val="Af6"/>
        <w:spacing w:line="580" w:lineRule="exact"/>
        <w:jc w:val="left"/>
        <w:rPr>
          <w:rFonts w:ascii="仿宋_GB2312" w:eastAsia="PMingLiU" w:hAnsi="宋体"/>
          <w:lang w:val="zh-TW" w:eastAsia="zh-TW" w:bidi="zh-CN"/>
        </w:rPr>
      </w:pPr>
      <w:r>
        <w:rPr>
          <w:rFonts w:ascii="仿宋_GB2312" w:eastAsia="仿宋_GB2312" w:hAnsi="宋体" w:hint="eastAsia"/>
          <w:lang w:val="zh-TW" w:bidi="zh-CN"/>
        </w:rPr>
        <w:t>5、</w:t>
      </w:r>
      <w:r>
        <w:rPr>
          <w:rFonts w:ascii="仿宋_GB2312" w:eastAsia="仿宋_GB2312" w:hAnsi="宋体" w:hint="eastAsia"/>
          <w:lang w:val="zh-TW" w:eastAsia="zh-TW" w:bidi="zh-CN"/>
        </w:rPr>
        <w:t>氮氧化物排放主要来自于公车耗油，氮氧化物排放数据根据中国环境保护部刊发的《道路机动车大气污染物排放清单编制技术指南（试行）》进行核算。</w:t>
      </w:r>
    </w:p>
    <w:p w:rsidR="00C13D7A" w:rsidRDefault="00933E15">
      <w:pPr>
        <w:pStyle w:val="a"/>
        <w:tabs>
          <w:tab w:val="left" w:pos="720"/>
        </w:tabs>
        <w:spacing w:beforeLines="0" w:before="0" w:afterLines="0" w:after="0" w:line="580" w:lineRule="exact"/>
        <w:outlineLvl w:val="0"/>
        <w:rPr>
          <w:rFonts w:hAnsi="黑体"/>
          <w:b/>
          <w:sz w:val="32"/>
          <w:szCs w:val="32"/>
        </w:rPr>
      </w:pPr>
      <w:bookmarkStart w:id="141" w:name="_Toc38615329"/>
      <w:bookmarkStart w:id="142" w:name="_Toc38615366"/>
      <w:bookmarkStart w:id="143" w:name="_Toc38615474"/>
      <w:bookmarkStart w:id="144" w:name="_Toc23339955"/>
      <w:bookmarkStart w:id="145" w:name="_Toc23339693"/>
      <w:bookmarkStart w:id="146" w:name="_Toc157583872"/>
      <w:r>
        <w:rPr>
          <w:rFonts w:hAnsi="黑体" w:hint="eastAsia"/>
          <w:b/>
          <w:sz w:val="32"/>
          <w:szCs w:val="32"/>
        </w:rPr>
        <w:t>本机构投融资活动的环境影响</w:t>
      </w:r>
      <w:bookmarkEnd w:id="141"/>
      <w:bookmarkEnd w:id="142"/>
      <w:bookmarkEnd w:id="143"/>
      <w:bookmarkEnd w:id="144"/>
      <w:bookmarkEnd w:id="145"/>
      <w:bookmarkEnd w:id="146"/>
    </w:p>
    <w:p w:rsidR="00C13D7A" w:rsidRDefault="00933E15">
      <w:pPr>
        <w:pStyle w:val="a0"/>
        <w:spacing w:beforeLines="0" w:before="0" w:afterLines="0" w:after="0" w:line="580" w:lineRule="exact"/>
        <w:ind w:leftChars="67" w:left="141"/>
        <w:jc w:val="both"/>
        <w:outlineLvl w:val="1"/>
        <w:rPr>
          <w:rFonts w:ascii="楷体" w:eastAsia="楷体" w:hAnsi="楷体" w:cs="黑体"/>
          <w:b/>
          <w:sz w:val="32"/>
          <w:szCs w:val="32"/>
        </w:rPr>
      </w:pPr>
      <w:bookmarkStart w:id="147" w:name="_Toc157583873"/>
      <w:r>
        <w:rPr>
          <w:rFonts w:ascii="楷体" w:eastAsia="楷体" w:hAnsi="楷体" w:hint="eastAsia"/>
          <w:b/>
          <w:sz w:val="32"/>
          <w:szCs w:val="32"/>
          <w:lang w:val="zh-TW" w:eastAsia="zh-TW"/>
        </w:rPr>
        <w:t>本机构投融资所产生的环境影响</w:t>
      </w:r>
      <w:bookmarkEnd w:id="147"/>
    </w:p>
    <w:p w:rsidR="00C13D7A" w:rsidRDefault="00933E15">
      <w:pPr>
        <w:pStyle w:val="Af6"/>
        <w:ind w:firstLineChars="200" w:firstLine="640"/>
        <w:rPr>
          <w:rFonts w:ascii="仿宋_GB2312" w:eastAsia="仿宋_GB2312" w:hAnsi="宋体" w:cs="黑体"/>
          <w:sz w:val="32"/>
          <w:szCs w:val="32"/>
        </w:rPr>
      </w:pPr>
      <w:r>
        <w:rPr>
          <w:rFonts w:ascii="仿宋_GB2312" w:eastAsia="仿宋_GB2312" w:hAnsi="宋体" w:cs="黑体" w:hint="eastAsia"/>
          <w:sz w:val="32"/>
          <w:szCs w:val="32"/>
        </w:rPr>
        <w:t>本行制定环境效益计量标准，实化绿色生态效益计量，为绿色金融市场化奠定基础。以202</w:t>
      </w:r>
      <w:r w:rsidR="00B94C31">
        <w:rPr>
          <w:rFonts w:ascii="仿宋_GB2312" w:eastAsia="仿宋_GB2312" w:hAnsi="宋体" w:cs="黑体"/>
          <w:sz w:val="32"/>
          <w:szCs w:val="32"/>
        </w:rPr>
        <w:t>4</w:t>
      </w:r>
      <w:r>
        <w:rPr>
          <w:rFonts w:ascii="仿宋_GB2312" w:eastAsia="仿宋_GB2312" w:hAnsi="宋体" w:cs="黑体" w:hint="eastAsia"/>
          <w:sz w:val="32"/>
          <w:szCs w:val="32"/>
        </w:rPr>
        <w:t>年</w:t>
      </w:r>
      <w:r>
        <w:rPr>
          <w:rFonts w:ascii="仿宋_GB2312" w:eastAsia="仿宋_GB2312" w:hAnsi="宋体" w:cs="黑体"/>
          <w:sz w:val="32"/>
          <w:szCs w:val="32"/>
        </w:rPr>
        <w:t>12</w:t>
      </w:r>
      <w:r>
        <w:rPr>
          <w:rFonts w:ascii="仿宋_GB2312" w:eastAsia="仿宋_GB2312" w:hAnsi="宋体" w:cs="黑体" w:hint="eastAsia"/>
          <w:sz w:val="32"/>
          <w:szCs w:val="32"/>
        </w:rPr>
        <w:t>月末本行</w:t>
      </w:r>
      <w:r w:rsidR="00B94C31">
        <w:rPr>
          <w:rFonts w:ascii="仿宋_GB2312" w:eastAsia="仿宋_GB2312" w:hAnsi="宋体" w:cs="黑体"/>
          <w:sz w:val="32"/>
          <w:szCs w:val="32"/>
        </w:rPr>
        <w:t>154.49</w:t>
      </w:r>
      <w:r>
        <w:rPr>
          <w:rFonts w:ascii="仿宋_GB2312" w:eastAsia="仿宋_GB2312" w:hAnsi="宋体" w:cs="黑体" w:hint="eastAsia"/>
          <w:sz w:val="32"/>
          <w:szCs w:val="32"/>
        </w:rPr>
        <w:t>亿元的绿色信贷余额来换算，可量化产生的环境效益为减排二氧化碳</w:t>
      </w:r>
      <w:r w:rsidR="00B94C31">
        <w:rPr>
          <w:rFonts w:ascii="仿宋_GB2312" w:eastAsia="仿宋_GB2312" w:hAnsi="宋体" w:cs="黑体"/>
          <w:sz w:val="32"/>
          <w:szCs w:val="32"/>
        </w:rPr>
        <w:t>81794.10</w:t>
      </w:r>
      <w:r>
        <w:rPr>
          <w:rFonts w:ascii="仿宋_GB2312" w:eastAsia="仿宋_GB2312" w:hAnsi="宋体" w:cs="黑体" w:hint="eastAsia"/>
          <w:sz w:val="32"/>
          <w:szCs w:val="32"/>
        </w:rPr>
        <w:t>吨。</w:t>
      </w:r>
    </w:p>
    <w:p w:rsidR="00C13D7A" w:rsidRDefault="00933E15">
      <w:pPr>
        <w:pStyle w:val="a0"/>
        <w:spacing w:beforeLines="0" w:before="0" w:afterLines="0" w:after="0" w:line="580" w:lineRule="exact"/>
        <w:ind w:leftChars="67" w:left="141"/>
        <w:jc w:val="both"/>
        <w:outlineLvl w:val="1"/>
        <w:rPr>
          <w:rFonts w:ascii="楷体" w:eastAsia="楷体" w:hAnsi="楷体"/>
          <w:b/>
          <w:sz w:val="32"/>
          <w:szCs w:val="32"/>
          <w:lang w:val="zh-TW" w:eastAsia="zh-TW"/>
        </w:rPr>
      </w:pPr>
      <w:bookmarkStart w:id="148" w:name="_Toc157583874"/>
      <w:r>
        <w:rPr>
          <w:rFonts w:ascii="楷体" w:eastAsia="楷体" w:hAnsi="楷体" w:hint="eastAsia"/>
          <w:b/>
          <w:sz w:val="32"/>
          <w:szCs w:val="32"/>
          <w:lang w:val="zh-TW" w:eastAsia="zh-TW"/>
        </w:rPr>
        <w:t>投融资环境影响的测算与表达</w:t>
      </w:r>
      <w:bookmarkEnd w:id="148"/>
    </w:p>
    <w:p w:rsidR="00C13D7A" w:rsidRDefault="00933E15">
      <w:pPr>
        <w:spacing w:line="580" w:lineRule="exact"/>
        <w:rPr>
          <w:rFonts w:ascii="仿宋_GB2312" w:eastAsia="仿宋_GB2312" w:hAnsi="宋体"/>
          <w:sz w:val="32"/>
          <w:szCs w:val="32"/>
        </w:rPr>
      </w:pPr>
      <w:r>
        <w:rPr>
          <w:rFonts w:ascii="宋体" w:hAnsi="宋体" w:hint="eastAsia"/>
          <w:sz w:val="32"/>
          <w:szCs w:val="32"/>
        </w:rPr>
        <w:t xml:space="preserve">    </w:t>
      </w:r>
      <w:r w:rsidRPr="00F62BF0">
        <w:rPr>
          <w:rFonts w:ascii="仿宋_GB2312" w:eastAsia="仿宋_GB2312" w:hAnsi="宋体" w:hint="eastAsia"/>
          <w:sz w:val="32"/>
          <w:szCs w:val="32"/>
        </w:rPr>
        <w:t>截至202</w:t>
      </w:r>
      <w:r w:rsidR="00F62BF0" w:rsidRPr="00F62BF0">
        <w:rPr>
          <w:rFonts w:ascii="仿宋_GB2312" w:eastAsia="仿宋_GB2312" w:hAnsi="宋体"/>
          <w:sz w:val="32"/>
          <w:szCs w:val="32"/>
        </w:rPr>
        <w:t>4</w:t>
      </w:r>
      <w:r w:rsidRPr="00F62BF0">
        <w:rPr>
          <w:rFonts w:ascii="仿宋_GB2312" w:eastAsia="仿宋_GB2312" w:hAnsi="宋体" w:hint="eastAsia"/>
          <w:sz w:val="32"/>
          <w:szCs w:val="32"/>
        </w:rPr>
        <w:t>年末，</w:t>
      </w:r>
      <w:r>
        <w:rPr>
          <w:rFonts w:ascii="仿宋_GB2312" w:eastAsia="仿宋_GB2312" w:hAnsi="宋体" w:hint="eastAsia"/>
          <w:sz w:val="32"/>
          <w:szCs w:val="32"/>
        </w:rPr>
        <w:t>本行按照公允/通行的计算标准，投融资所产生的环境影响，由于投融资金额变动、信贷结构变化及其产生的环境影响如下表所示：</w:t>
      </w:r>
    </w:p>
    <w:p w:rsidR="00C13D7A" w:rsidRDefault="00933E15">
      <w:pPr>
        <w:pStyle w:val="Af6"/>
        <w:spacing w:line="560" w:lineRule="exact"/>
        <w:jc w:val="center"/>
        <w:rPr>
          <w:rFonts w:ascii="黑体" w:eastAsia="黑体" w:hAnsi="黑体" w:cs="仿宋_GB2312"/>
          <w:sz w:val="24"/>
          <w:szCs w:val="24"/>
        </w:rPr>
      </w:pPr>
      <w:r>
        <w:rPr>
          <w:rFonts w:ascii="黑体" w:eastAsia="黑体" w:hAnsi="黑体" w:cs="仿宋_GB2312" w:hint="eastAsia"/>
          <w:sz w:val="24"/>
          <w:szCs w:val="24"/>
        </w:rPr>
        <w:t>表4. 金融机构投融资对环境产生的影响</w:t>
      </w:r>
    </w:p>
    <w:tbl>
      <w:tblPr>
        <w:tblW w:w="89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99"/>
        <w:gridCol w:w="3686"/>
        <w:gridCol w:w="1417"/>
        <w:gridCol w:w="1417"/>
      </w:tblGrid>
      <w:tr w:rsidR="00C13D7A">
        <w:trPr>
          <w:trHeight w:val="409"/>
          <w:jc w:val="center"/>
        </w:trPr>
        <w:tc>
          <w:tcPr>
            <w:tcW w:w="239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80" w:type="dxa"/>
              <w:bottom w:w="80" w:type="dxa"/>
              <w:right w:w="80" w:type="dxa"/>
            </w:tcMar>
            <w:vAlign w:val="center"/>
          </w:tcPr>
          <w:p w:rsidR="00C13D7A" w:rsidRDefault="00933E15">
            <w:pPr>
              <w:pStyle w:val="af0"/>
              <w:widowControl/>
              <w:spacing w:line="360" w:lineRule="auto"/>
              <w:jc w:val="center"/>
              <w:rPr>
                <w:rStyle w:val="15"/>
                <w:rFonts w:hint="default"/>
                <w:b w:val="0"/>
                <w:color w:val="000000"/>
                <w:sz w:val="21"/>
                <w:szCs w:val="21"/>
              </w:rPr>
            </w:pPr>
            <w:r>
              <w:rPr>
                <w:rStyle w:val="15"/>
                <w:rFonts w:hint="default"/>
                <w:color w:val="000000"/>
                <w:kern w:val="2"/>
                <w:sz w:val="21"/>
                <w:szCs w:val="21"/>
              </w:rPr>
              <w:t>指标名称</w:t>
            </w:r>
          </w:p>
        </w:tc>
        <w:tc>
          <w:tcPr>
            <w:tcW w:w="368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80" w:type="dxa"/>
              <w:left w:w="80" w:type="dxa"/>
              <w:bottom w:w="80" w:type="dxa"/>
              <w:right w:w="80" w:type="dxa"/>
            </w:tcMar>
            <w:vAlign w:val="center"/>
          </w:tcPr>
          <w:p w:rsidR="00C13D7A" w:rsidRDefault="00933E15">
            <w:pPr>
              <w:pStyle w:val="af0"/>
              <w:widowControl/>
              <w:spacing w:line="360" w:lineRule="auto"/>
              <w:jc w:val="center"/>
              <w:rPr>
                <w:rStyle w:val="15"/>
                <w:rFonts w:hint="default"/>
                <w:b w:val="0"/>
                <w:color w:val="000000"/>
                <w:sz w:val="21"/>
                <w:szCs w:val="21"/>
              </w:rPr>
            </w:pPr>
            <w:r>
              <w:rPr>
                <w:rStyle w:val="15"/>
                <w:rFonts w:hint="default"/>
                <w:color w:val="000000"/>
                <w:kern w:val="2"/>
                <w:sz w:val="21"/>
                <w:szCs w:val="21"/>
              </w:rPr>
              <w:t>披露细项</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13D7A" w:rsidRDefault="00933E15">
            <w:pPr>
              <w:pStyle w:val="af0"/>
              <w:widowControl/>
              <w:spacing w:line="360" w:lineRule="auto"/>
              <w:jc w:val="center"/>
              <w:rPr>
                <w:rStyle w:val="15"/>
                <w:rFonts w:hint="default"/>
                <w:b w:val="0"/>
                <w:color w:val="000000"/>
                <w:sz w:val="21"/>
                <w:szCs w:val="21"/>
              </w:rPr>
            </w:pPr>
            <w:r>
              <w:rPr>
                <w:rStyle w:val="15"/>
                <w:rFonts w:hint="default"/>
                <w:color w:val="000000"/>
                <w:kern w:val="2"/>
                <w:sz w:val="21"/>
                <w:szCs w:val="21"/>
              </w:rPr>
              <w:t>披露数据</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13D7A" w:rsidRDefault="00933E15">
            <w:pPr>
              <w:pStyle w:val="af0"/>
              <w:widowControl/>
              <w:spacing w:line="360" w:lineRule="auto"/>
              <w:jc w:val="center"/>
              <w:rPr>
                <w:rStyle w:val="15"/>
                <w:rFonts w:hint="default"/>
                <w:b w:val="0"/>
                <w:color w:val="000000"/>
                <w:sz w:val="21"/>
                <w:szCs w:val="21"/>
              </w:rPr>
            </w:pPr>
            <w:r>
              <w:rPr>
                <w:rStyle w:val="15"/>
                <w:rFonts w:hint="default"/>
                <w:color w:val="000000"/>
                <w:kern w:val="2"/>
                <w:sz w:val="21"/>
                <w:szCs w:val="21"/>
              </w:rPr>
              <w:t>备注</w:t>
            </w:r>
          </w:p>
        </w:tc>
      </w:tr>
      <w:tr w:rsidR="00C13D7A">
        <w:trPr>
          <w:trHeight w:val="409"/>
          <w:jc w:val="center"/>
        </w:trPr>
        <w:tc>
          <w:tcPr>
            <w:tcW w:w="2399"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绿色信贷余额及占比</w:t>
            </w:r>
          </w:p>
        </w:tc>
        <w:tc>
          <w:tcPr>
            <w:tcW w:w="3686"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C13D7A" w:rsidRPr="00F62BF0" w:rsidRDefault="00933E15">
            <w:pPr>
              <w:pStyle w:val="Af6"/>
              <w:spacing w:beforeLines="50" w:before="156" w:afterLines="50" w:after="156" w:line="400" w:lineRule="exact"/>
              <w:jc w:val="left"/>
              <w:rPr>
                <w:rFonts w:ascii="宋体" w:eastAsia="宋体" w:hAnsi="宋体" w:cs="Times New Roman"/>
                <w:color w:val="auto"/>
                <w:lang w:val="zh-TW" w:eastAsia="zh-TW"/>
              </w:rPr>
            </w:pPr>
            <w:r w:rsidRPr="00F62BF0">
              <w:rPr>
                <w:rFonts w:ascii="宋体" w:eastAsia="宋体" w:hAnsi="宋体" w:cs="Times New Roman" w:hint="eastAsia"/>
                <w:color w:val="auto"/>
                <w:lang w:val="zh-TW" w:eastAsia="zh-TW"/>
              </w:rPr>
              <w:t>绿色信贷余额（万元）</w:t>
            </w:r>
          </w:p>
        </w:tc>
        <w:tc>
          <w:tcPr>
            <w:tcW w:w="1417" w:type="dxa"/>
            <w:tcBorders>
              <w:top w:val="single" w:sz="4" w:space="0" w:color="000000"/>
              <w:left w:val="single" w:sz="4" w:space="0" w:color="000000"/>
              <w:bottom w:val="single" w:sz="4" w:space="0" w:color="000000"/>
              <w:right w:val="single" w:sz="4" w:space="0" w:color="000000"/>
            </w:tcBorders>
            <w:shd w:val="clear" w:color="auto" w:fill="CED7E7"/>
            <w:vAlign w:val="center"/>
          </w:tcPr>
          <w:p w:rsidR="00C13D7A" w:rsidRPr="00F62BF0" w:rsidRDefault="00F62BF0" w:rsidP="00F62BF0">
            <w:pPr>
              <w:widowControl/>
              <w:jc w:val="left"/>
              <w:rPr>
                <w:rFonts w:ascii="等线" w:eastAsia="等线" w:hAnsi="等线" w:hint="eastAsia"/>
                <w:kern w:val="0"/>
                <w:sz w:val="20"/>
                <w:szCs w:val="20"/>
              </w:rPr>
            </w:pPr>
            <w:r w:rsidRPr="00F62BF0">
              <w:rPr>
                <w:rFonts w:ascii="等线" w:eastAsia="等线" w:hAnsi="等线" w:hint="eastAsia"/>
                <w:sz w:val="20"/>
                <w:szCs w:val="20"/>
              </w:rPr>
              <w:t xml:space="preserve">1544934.56 </w:t>
            </w:r>
          </w:p>
        </w:tc>
        <w:tc>
          <w:tcPr>
            <w:tcW w:w="1417" w:type="dxa"/>
            <w:tcBorders>
              <w:top w:val="single" w:sz="4" w:space="0" w:color="000000"/>
              <w:left w:val="single" w:sz="4" w:space="0" w:color="000000"/>
              <w:bottom w:val="single" w:sz="4" w:space="0" w:color="000000"/>
              <w:right w:val="single" w:sz="4" w:space="0" w:color="000000"/>
            </w:tcBorders>
            <w:shd w:val="clear" w:color="auto" w:fill="CED7E7"/>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必选项</w:t>
            </w:r>
          </w:p>
        </w:tc>
      </w:tr>
      <w:tr w:rsidR="00C13D7A">
        <w:trPr>
          <w:trHeight w:val="409"/>
          <w:jc w:val="center"/>
        </w:trPr>
        <w:tc>
          <w:tcPr>
            <w:tcW w:w="2399"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C13D7A" w:rsidRDefault="00C13D7A">
            <w:pPr>
              <w:pStyle w:val="Af6"/>
              <w:widowControl/>
              <w:spacing w:beforeLines="50" w:before="156" w:afterLines="50" w:after="156" w:line="400" w:lineRule="exact"/>
              <w:jc w:val="left"/>
              <w:rPr>
                <w:rFonts w:ascii="宋体" w:eastAsia="宋体" w:hAnsi="宋体" w:cs="Times New Roman"/>
                <w:color w:val="auto"/>
                <w:lang w:val="zh-TW" w:eastAsia="zh-TW"/>
              </w:rPr>
            </w:pPr>
          </w:p>
        </w:tc>
        <w:tc>
          <w:tcPr>
            <w:tcW w:w="3686"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各项贷款余额（万元）</w:t>
            </w:r>
          </w:p>
        </w:tc>
        <w:tc>
          <w:tcPr>
            <w:tcW w:w="1417" w:type="dxa"/>
            <w:tcBorders>
              <w:top w:val="single" w:sz="4" w:space="0" w:color="000000"/>
              <w:left w:val="single" w:sz="4" w:space="0" w:color="000000"/>
              <w:bottom w:val="single" w:sz="4" w:space="0" w:color="000000"/>
              <w:right w:val="single" w:sz="4" w:space="0" w:color="000000"/>
            </w:tcBorders>
            <w:shd w:val="clear" w:color="auto" w:fill="CED7E7"/>
          </w:tcPr>
          <w:p w:rsidR="00C13D7A" w:rsidRPr="00537CD7" w:rsidRDefault="00537CD7">
            <w:pPr>
              <w:pStyle w:val="Af6"/>
              <w:widowControl/>
              <w:spacing w:beforeLines="50" w:before="156" w:afterLines="50" w:after="156" w:line="400" w:lineRule="exact"/>
              <w:jc w:val="left"/>
              <w:rPr>
                <w:rFonts w:ascii="宋体" w:eastAsia="PMingLiU" w:hAnsi="宋体" w:cs="Times New Roman" w:hint="eastAsia"/>
                <w:color w:val="auto"/>
                <w:lang w:val="zh-TW" w:eastAsia="zh-TW"/>
              </w:rPr>
            </w:pPr>
            <w:r w:rsidRPr="00537CD7">
              <w:rPr>
                <w:rFonts w:ascii="宋体" w:eastAsia="宋体" w:hAnsi="宋体" w:cs="Times New Roman"/>
                <w:color w:val="auto"/>
                <w:lang w:val="zh-TW" w:eastAsia="zh-TW"/>
              </w:rPr>
              <w:t>5124437.51</w:t>
            </w:r>
          </w:p>
        </w:tc>
        <w:tc>
          <w:tcPr>
            <w:tcW w:w="1417" w:type="dxa"/>
            <w:tcBorders>
              <w:top w:val="single" w:sz="4" w:space="0" w:color="000000"/>
              <w:left w:val="single" w:sz="4" w:space="0" w:color="000000"/>
              <w:bottom w:val="single" w:sz="4" w:space="0" w:color="000000"/>
              <w:right w:val="single" w:sz="4" w:space="0" w:color="000000"/>
            </w:tcBorders>
            <w:shd w:val="clear" w:color="auto" w:fill="CED7E7"/>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必选项</w:t>
            </w:r>
          </w:p>
        </w:tc>
      </w:tr>
      <w:tr w:rsidR="00C13D7A">
        <w:trPr>
          <w:trHeight w:val="409"/>
          <w:jc w:val="center"/>
        </w:trPr>
        <w:tc>
          <w:tcPr>
            <w:tcW w:w="2399"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C13D7A" w:rsidRDefault="00C13D7A">
            <w:pPr>
              <w:pStyle w:val="Af6"/>
              <w:widowControl/>
              <w:spacing w:beforeLines="50" w:before="156" w:afterLines="50" w:after="156" w:line="400" w:lineRule="exact"/>
              <w:jc w:val="left"/>
              <w:rPr>
                <w:rFonts w:ascii="宋体" w:eastAsia="宋体" w:hAnsi="宋体" w:cs="Times New Roman"/>
                <w:color w:val="auto"/>
                <w:lang w:val="zh-TW" w:eastAsia="zh-TW"/>
              </w:rPr>
            </w:pPr>
          </w:p>
        </w:tc>
        <w:tc>
          <w:tcPr>
            <w:tcW w:w="3686"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绿色信贷占比（％）</w:t>
            </w:r>
          </w:p>
        </w:tc>
        <w:tc>
          <w:tcPr>
            <w:tcW w:w="1417" w:type="dxa"/>
            <w:tcBorders>
              <w:top w:val="single" w:sz="4" w:space="0" w:color="000000"/>
              <w:left w:val="single" w:sz="4" w:space="0" w:color="000000"/>
              <w:bottom w:val="single" w:sz="4" w:space="0" w:color="000000"/>
              <w:right w:val="single" w:sz="4" w:space="0" w:color="000000"/>
            </w:tcBorders>
            <w:shd w:val="clear" w:color="auto" w:fill="CED7E7"/>
          </w:tcPr>
          <w:p w:rsidR="00C13D7A" w:rsidRDefault="00537CD7">
            <w:pPr>
              <w:pStyle w:val="Af6"/>
              <w:widowControl/>
              <w:spacing w:beforeLines="50" w:before="156" w:afterLines="50" w:after="156" w:line="400" w:lineRule="exact"/>
              <w:jc w:val="left"/>
              <w:rPr>
                <w:rFonts w:ascii="宋体" w:eastAsia="PMingLiU" w:hAnsi="宋体" w:cs="Times New Roman"/>
                <w:color w:val="auto"/>
              </w:rPr>
            </w:pPr>
            <w:r>
              <w:rPr>
                <w:rFonts w:ascii="宋体" w:eastAsia="PMingLiU" w:hAnsi="宋体" w:cs="Times New Roman"/>
                <w:color w:val="auto"/>
                <w:lang w:val="zh-TW" w:eastAsia="zh-TW"/>
              </w:rPr>
              <w:t>30.16</w:t>
            </w:r>
          </w:p>
        </w:tc>
        <w:tc>
          <w:tcPr>
            <w:tcW w:w="1417" w:type="dxa"/>
            <w:tcBorders>
              <w:top w:val="single" w:sz="4" w:space="0" w:color="000000"/>
              <w:left w:val="single" w:sz="4" w:space="0" w:color="000000"/>
              <w:bottom w:val="single" w:sz="4" w:space="0" w:color="000000"/>
              <w:right w:val="single" w:sz="4" w:space="0" w:color="000000"/>
            </w:tcBorders>
            <w:shd w:val="clear" w:color="auto" w:fill="CED7E7"/>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必选项</w:t>
            </w:r>
          </w:p>
        </w:tc>
      </w:tr>
      <w:tr w:rsidR="00C13D7A">
        <w:trPr>
          <w:trHeight w:val="409"/>
          <w:jc w:val="center"/>
        </w:trPr>
        <w:tc>
          <w:tcPr>
            <w:tcW w:w="2399"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绿色信贷金额变动折合减排情况</w:t>
            </w:r>
          </w:p>
        </w:tc>
        <w:tc>
          <w:tcPr>
            <w:tcW w:w="3686"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折合减排标准煤（吨）</w:t>
            </w:r>
          </w:p>
        </w:tc>
        <w:tc>
          <w:tcPr>
            <w:tcW w:w="1417" w:type="dxa"/>
            <w:tcBorders>
              <w:top w:val="single" w:sz="4" w:space="0" w:color="000000"/>
              <w:left w:val="single" w:sz="4" w:space="0" w:color="000000"/>
              <w:bottom w:val="single" w:sz="4" w:space="0" w:color="000000"/>
              <w:right w:val="single" w:sz="4" w:space="0" w:color="000000"/>
            </w:tcBorders>
            <w:shd w:val="clear" w:color="auto" w:fill="CED7E7"/>
          </w:tcPr>
          <w:p w:rsidR="00C13D7A" w:rsidRDefault="00537CD7">
            <w:pPr>
              <w:pStyle w:val="Af6"/>
              <w:widowControl/>
              <w:spacing w:beforeLines="50" w:before="156" w:afterLines="50" w:after="156" w:line="400" w:lineRule="exact"/>
              <w:jc w:val="left"/>
              <w:rPr>
                <w:rFonts w:ascii="宋体" w:eastAsia="宋体" w:hAnsi="宋体" w:cs="Times New Roman"/>
                <w:color w:val="auto"/>
                <w:lang w:val="zh-TW" w:eastAsia="zh-TW"/>
              </w:rPr>
            </w:pPr>
            <w:r w:rsidRPr="00537CD7">
              <w:rPr>
                <w:rFonts w:ascii="宋体" w:eastAsia="宋体" w:hAnsi="宋体" w:cs="Times New Roman"/>
                <w:color w:val="auto"/>
                <w:lang w:val="zh-TW" w:eastAsia="zh-TW"/>
              </w:rPr>
              <w:t>33294.31</w:t>
            </w:r>
          </w:p>
        </w:tc>
        <w:tc>
          <w:tcPr>
            <w:tcW w:w="1417" w:type="dxa"/>
            <w:tcBorders>
              <w:top w:val="single" w:sz="4" w:space="0" w:color="000000"/>
              <w:left w:val="single" w:sz="4" w:space="0" w:color="000000"/>
              <w:bottom w:val="single" w:sz="4" w:space="0" w:color="000000"/>
              <w:right w:val="single" w:sz="4" w:space="0" w:color="000000"/>
            </w:tcBorders>
            <w:shd w:val="clear" w:color="auto" w:fill="CED7E7"/>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可选项</w:t>
            </w:r>
          </w:p>
        </w:tc>
      </w:tr>
      <w:tr w:rsidR="00C13D7A">
        <w:trPr>
          <w:trHeight w:val="409"/>
          <w:jc w:val="center"/>
        </w:trPr>
        <w:tc>
          <w:tcPr>
            <w:tcW w:w="2399"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C13D7A" w:rsidRDefault="00C13D7A">
            <w:pPr>
              <w:pStyle w:val="Af6"/>
              <w:widowControl/>
              <w:spacing w:beforeLines="50" w:before="156" w:afterLines="50" w:after="156" w:line="400" w:lineRule="exact"/>
              <w:jc w:val="left"/>
              <w:rPr>
                <w:rFonts w:ascii="宋体" w:eastAsia="宋体" w:hAnsi="宋体" w:cs="Times New Roman"/>
                <w:color w:val="auto"/>
                <w:lang w:val="zh-TW" w:eastAsia="zh-TW"/>
              </w:rPr>
            </w:pPr>
          </w:p>
        </w:tc>
        <w:tc>
          <w:tcPr>
            <w:tcW w:w="3686"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折合减排二氧化碳当量（吨）</w:t>
            </w:r>
          </w:p>
        </w:tc>
        <w:tc>
          <w:tcPr>
            <w:tcW w:w="1417" w:type="dxa"/>
            <w:tcBorders>
              <w:top w:val="single" w:sz="4" w:space="0" w:color="000000"/>
              <w:left w:val="single" w:sz="4" w:space="0" w:color="000000"/>
              <w:bottom w:val="single" w:sz="4" w:space="0" w:color="000000"/>
              <w:right w:val="single" w:sz="4" w:space="0" w:color="000000"/>
            </w:tcBorders>
            <w:shd w:val="clear" w:color="auto" w:fill="CED7E7"/>
          </w:tcPr>
          <w:p w:rsidR="00C13D7A" w:rsidRDefault="00537CD7">
            <w:pPr>
              <w:pStyle w:val="Af6"/>
              <w:widowControl/>
              <w:spacing w:beforeLines="50" w:before="156" w:afterLines="50" w:after="156" w:line="400" w:lineRule="exact"/>
              <w:jc w:val="left"/>
              <w:rPr>
                <w:rFonts w:ascii="宋体" w:eastAsia="宋体" w:hAnsi="宋体" w:cs="Times New Roman"/>
                <w:color w:val="auto"/>
                <w:lang w:val="zh-TW" w:eastAsia="zh-TW"/>
              </w:rPr>
            </w:pPr>
            <w:r w:rsidRPr="00537CD7">
              <w:rPr>
                <w:rFonts w:ascii="宋体" w:eastAsia="宋体" w:hAnsi="宋体" w:cs="Times New Roman"/>
                <w:color w:val="auto"/>
                <w:lang w:val="zh-TW" w:eastAsia="zh-TW"/>
              </w:rPr>
              <w:t>81794.10</w:t>
            </w:r>
          </w:p>
        </w:tc>
        <w:tc>
          <w:tcPr>
            <w:tcW w:w="1417" w:type="dxa"/>
            <w:tcBorders>
              <w:top w:val="single" w:sz="4" w:space="0" w:color="000000"/>
              <w:left w:val="single" w:sz="4" w:space="0" w:color="000000"/>
              <w:bottom w:val="single" w:sz="4" w:space="0" w:color="000000"/>
              <w:right w:val="single" w:sz="4" w:space="0" w:color="000000"/>
            </w:tcBorders>
            <w:shd w:val="clear" w:color="auto" w:fill="CED7E7"/>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可选项</w:t>
            </w:r>
          </w:p>
        </w:tc>
      </w:tr>
      <w:tr w:rsidR="00C13D7A">
        <w:trPr>
          <w:trHeight w:val="409"/>
          <w:jc w:val="center"/>
        </w:trPr>
        <w:tc>
          <w:tcPr>
            <w:tcW w:w="2399"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C13D7A" w:rsidRDefault="00C13D7A">
            <w:pPr>
              <w:pStyle w:val="Af6"/>
              <w:widowControl/>
              <w:spacing w:beforeLines="50" w:before="156" w:afterLines="50" w:after="156" w:line="400" w:lineRule="exact"/>
              <w:jc w:val="left"/>
              <w:rPr>
                <w:rFonts w:ascii="宋体" w:eastAsia="宋体" w:hAnsi="宋体" w:cs="Times New Roman"/>
                <w:color w:val="auto"/>
                <w:lang w:val="zh-TW" w:eastAsia="zh-TW"/>
              </w:rPr>
            </w:pPr>
          </w:p>
        </w:tc>
        <w:tc>
          <w:tcPr>
            <w:tcW w:w="3686"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折合减排化学需氧量（吨）</w:t>
            </w:r>
          </w:p>
        </w:tc>
        <w:tc>
          <w:tcPr>
            <w:tcW w:w="1417" w:type="dxa"/>
            <w:tcBorders>
              <w:top w:val="single" w:sz="4" w:space="0" w:color="000000"/>
              <w:left w:val="single" w:sz="4" w:space="0" w:color="000000"/>
              <w:bottom w:val="single" w:sz="4" w:space="0" w:color="000000"/>
              <w:right w:val="single" w:sz="4" w:space="0" w:color="000000"/>
            </w:tcBorders>
            <w:shd w:val="clear" w:color="auto" w:fill="CED7E7"/>
          </w:tcPr>
          <w:p w:rsidR="00C13D7A" w:rsidRDefault="00933E15">
            <w:pPr>
              <w:pStyle w:val="Af6"/>
              <w:widowControl/>
              <w:spacing w:beforeLines="50" w:before="156" w:afterLines="50" w:after="156" w:line="400" w:lineRule="exact"/>
              <w:jc w:val="left"/>
              <w:rPr>
                <w:rFonts w:ascii="宋体" w:eastAsia="宋体" w:hAnsi="宋体" w:cs="Times New Roman"/>
                <w:color w:val="auto"/>
                <w:lang w:val="zh-TW"/>
              </w:rPr>
            </w:pPr>
            <w:r>
              <w:rPr>
                <w:rFonts w:ascii="宋体" w:eastAsia="宋体" w:hAnsi="宋体" w:cs="Times New Roman" w:hint="eastAsia"/>
                <w:color w:val="auto"/>
                <w:lang w:val="zh-TW"/>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CED7E7"/>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可选项</w:t>
            </w:r>
          </w:p>
        </w:tc>
      </w:tr>
      <w:tr w:rsidR="00C13D7A">
        <w:trPr>
          <w:trHeight w:val="409"/>
          <w:jc w:val="center"/>
        </w:trPr>
        <w:tc>
          <w:tcPr>
            <w:tcW w:w="2399"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C13D7A" w:rsidRDefault="00C13D7A">
            <w:pPr>
              <w:pStyle w:val="Af6"/>
              <w:widowControl/>
              <w:spacing w:beforeLines="50" w:before="156" w:afterLines="50" w:after="156" w:line="400" w:lineRule="exact"/>
              <w:jc w:val="left"/>
              <w:rPr>
                <w:rFonts w:ascii="宋体" w:eastAsia="宋体" w:hAnsi="宋体" w:cs="Times New Roman"/>
                <w:color w:val="auto"/>
                <w:lang w:val="zh-TW" w:eastAsia="zh-TW"/>
              </w:rPr>
            </w:pPr>
          </w:p>
        </w:tc>
        <w:tc>
          <w:tcPr>
            <w:tcW w:w="3686"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折合减排氨氮（吨）</w:t>
            </w:r>
          </w:p>
        </w:tc>
        <w:tc>
          <w:tcPr>
            <w:tcW w:w="1417" w:type="dxa"/>
            <w:tcBorders>
              <w:top w:val="single" w:sz="4" w:space="0" w:color="000000"/>
              <w:left w:val="single" w:sz="4" w:space="0" w:color="000000"/>
              <w:bottom w:val="single" w:sz="4" w:space="0" w:color="000000"/>
              <w:right w:val="single" w:sz="4" w:space="0" w:color="000000"/>
            </w:tcBorders>
            <w:shd w:val="clear" w:color="auto" w:fill="CED7E7"/>
          </w:tcPr>
          <w:p w:rsidR="00C13D7A" w:rsidRDefault="00933E15">
            <w:pPr>
              <w:pStyle w:val="Af6"/>
              <w:widowControl/>
              <w:spacing w:beforeLines="50" w:before="156" w:afterLines="50" w:after="156" w:line="400" w:lineRule="exact"/>
              <w:jc w:val="left"/>
              <w:rPr>
                <w:rFonts w:ascii="宋体" w:eastAsia="宋体" w:hAnsi="宋体" w:cs="Times New Roman"/>
                <w:color w:val="auto"/>
                <w:lang w:val="zh-TW"/>
              </w:rPr>
            </w:pPr>
            <w:r>
              <w:rPr>
                <w:rFonts w:ascii="宋体" w:eastAsia="宋体" w:hAnsi="宋体" w:cs="Times New Roman" w:hint="eastAsia"/>
                <w:color w:val="auto"/>
                <w:lang w:val="zh-TW"/>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CED7E7"/>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可选项</w:t>
            </w:r>
          </w:p>
        </w:tc>
      </w:tr>
      <w:tr w:rsidR="00C13D7A">
        <w:trPr>
          <w:trHeight w:val="409"/>
          <w:jc w:val="center"/>
        </w:trPr>
        <w:tc>
          <w:tcPr>
            <w:tcW w:w="2399"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C13D7A" w:rsidRDefault="00C13D7A">
            <w:pPr>
              <w:pStyle w:val="Af6"/>
              <w:widowControl/>
              <w:spacing w:beforeLines="50" w:before="156" w:afterLines="50" w:after="156" w:line="400" w:lineRule="exact"/>
              <w:jc w:val="left"/>
              <w:rPr>
                <w:rFonts w:ascii="宋体" w:eastAsia="宋体" w:hAnsi="宋体" w:cs="Times New Roman"/>
                <w:color w:val="auto"/>
                <w:lang w:val="zh-TW" w:eastAsia="zh-TW"/>
              </w:rPr>
            </w:pPr>
          </w:p>
        </w:tc>
        <w:tc>
          <w:tcPr>
            <w:tcW w:w="3686"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折合减排二氧化硫（吨）</w:t>
            </w:r>
          </w:p>
        </w:tc>
        <w:tc>
          <w:tcPr>
            <w:tcW w:w="1417" w:type="dxa"/>
            <w:tcBorders>
              <w:top w:val="single" w:sz="4" w:space="0" w:color="000000"/>
              <w:left w:val="single" w:sz="4" w:space="0" w:color="000000"/>
              <w:bottom w:val="single" w:sz="4" w:space="0" w:color="000000"/>
              <w:right w:val="single" w:sz="4" w:space="0" w:color="000000"/>
            </w:tcBorders>
            <w:shd w:val="clear" w:color="auto" w:fill="CED7E7"/>
          </w:tcPr>
          <w:p w:rsidR="00C13D7A" w:rsidRDefault="00537CD7">
            <w:pPr>
              <w:pStyle w:val="Af6"/>
              <w:widowControl/>
              <w:spacing w:beforeLines="50" w:before="156" w:afterLines="50" w:after="156" w:line="400" w:lineRule="exact"/>
              <w:jc w:val="left"/>
              <w:rPr>
                <w:rFonts w:ascii="宋体" w:eastAsia="宋体" w:hAnsi="宋体" w:cs="Times New Roman"/>
                <w:color w:val="auto"/>
                <w:lang w:val="zh-TW" w:eastAsia="zh-TW"/>
              </w:rPr>
            </w:pPr>
            <w:r w:rsidRPr="00537CD7">
              <w:rPr>
                <w:rFonts w:ascii="宋体" w:eastAsia="宋体" w:hAnsi="宋体" w:cs="Times New Roman"/>
                <w:color w:val="auto"/>
                <w:lang w:val="zh-TW" w:eastAsia="zh-TW"/>
              </w:rPr>
              <w:t>2453.84</w:t>
            </w:r>
          </w:p>
        </w:tc>
        <w:tc>
          <w:tcPr>
            <w:tcW w:w="1417" w:type="dxa"/>
            <w:tcBorders>
              <w:top w:val="single" w:sz="4" w:space="0" w:color="000000"/>
              <w:left w:val="single" w:sz="4" w:space="0" w:color="000000"/>
              <w:bottom w:val="single" w:sz="4" w:space="0" w:color="000000"/>
              <w:right w:val="single" w:sz="4" w:space="0" w:color="000000"/>
            </w:tcBorders>
            <w:shd w:val="clear" w:color="auto" w:fill="CED7E7"/>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可选项</w:t>
            </w:r>
          </w:p>
        </w:tc>
      </w:tr>
      <w:tr w:rsidR="00C13D7A">
        <w:trPr>
          <w:trHeight w:val="409"/>
          <w:jc w:val="center"/>
        </w:trPr>
        <w:tc>
          <w:tcPr>
            <w:tcW w:w="2399"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C13D7A" w:rsidRDefault="00C13D7A">
            <w:pPr>
              <w:pStyle w:val="Af6"/>
              <w:widowControl/>
              <w:spacing w:beforeLines="50" w:before="156" w:afterLines="50" w:after="156" w:line="400" w:lineRule="exact"/>
              <w:jc w:val="left"/>
              <w:rPr>
                <w:rFonts w:ascii="宋体" w:eastAsia="宋体" w:hAnsi="宋体" w:cs="Times New Roman"/>
                <w:color w:val="auto"/>
                <w:lang w:val="zh-TW" w:eastAsia="zh-TW"/>
              </w:rPr>
            </w:pPr>
          </w:p>
        </w:tc>
        <w:tc>
          <w:tcPr>
            <w:tcW w:w="3686"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折合减排氮氧化物（吨）</w:t>
            </w:r>
          </w:p>
        </w:tc>
        <w:tc>
          <w:tcPr>
            <w:tcW w:w="1417" w:type="dxa"/>
            <w:tcBorders>
              <w:top w:val="single" w:sz="4" w:space="0" w:color="000000"/>
              <w:left w:val="single" w:sz="4" w:space="0" w:color="000000"/>
              <w:bottom w:val="single" w:sz="4" w:space="0" w:color="000000"/>
              <w:right w:val="single" w:sz="4" w:space="0" w:color="000000"/>
            </w:tcBorders>
            <w:shd w:val="clear" w:color="auto" w:fill="CED7E7"/>
          </w:tcPr>
          <w:p w:rsidR="00C13D7A" w:rsidRDefault="00537CD7">
            <w:pPr>
              <w:pStyle w:val="Af6"/>
              <w:widowControl/>
              <w:spacing w:beforeLines="50" w:before="156" w:afterLines="50" w:after="156" w:line="400" w:lineRule="exact"/>
              <w:jc w:val="left"/>
              <w:rPr>
                <w:rFonts w:ascii="宋体" w:eastAsia="PMingLiU" w:hAnsi="宋体" w:cs="Times New Roman"/>
                <w:color w:val="auto"/>
                <w:lang w:val="zh-TW" w:eastAsia="zh-TW"/>
              </w:rPr>
            </w:pPr>
            <w:r w:rsidRPr="00537CD7">
              <w:rPr>
                <w:rFonts w:ascii="宋体" w:eastAsia="PMingLiU" w:hAnsi="宋体" w:cs="Times New Roman"/>
                <w:color w:val="auto"/>
                <w:lang w:val="zh-TW" w:eastAsia="zh-TW"/>
              </w:rPr>
              <w:t>1226.92</w:t>
            </w:r>
          </w:p>
        </w:tc>
        <w:tc>
          <w:tcPr>
            <w:tcW w:w="1417" w:type="dxa"/>
            <w:tcBorders>
              <w:top w:val="single" w:sz="4" w:space="0" w:color="000000"/>
              <w:left w:val="single" w:sz="4" w:space="0" w:color="000000"/>
              <w:bottom w:val="single" w:sz="4" w:space="0" w:color="000000"/>
              <w:right w:val="single" w:sz="4" w:space="0" w:color="000000"/>
            </w:tcBorders>
            <w:shd w:val="clear" w:color="auto" w:fill="CED7E7"/>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可选项</w:t>
            </w:r>
          </w:p>
        </w:tc>
      </w:tr>
      <w:tr w:rsidR="00C13D7A">
        <w:trPr>
          <w:trHeight w:val="409"/>
          <w:jc w:val="center"/>
        </w:trPr>
        <w:tc>
          <w:tcPr>
            <w:tcW w:w="2399"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C13D7A" w:rsidRDefault="00C13D7A">
            <w:pPr>
              <w:pStyle w:val="Af6"/>
              <w:widowControl/>
              <w:spacing w:beforeLines="50" w:before="156" w:afterLines="50" w:after="156" w:line="400" w:lineRule="exact"/>
              <w:jc w:val="left"/>
              <w:rPr>
                <w:rFonts w:ascii="宋体" w:eastAsia="宋体" w:hAnsi="宋体" w:cs="Times New Roman"/>
                <w:color w:val="auto"/>
                <w:lang w:val="zh-TW" w:eastAsia="zh-TW"/>
              </w:rPr>
            </w:pPr>
          </w:p>
        </w:tc>
        <w:tc>
          <w:tcPr>
            <w:tcW w:w="3686"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折合节水（吨）</w:t>
            </w:r>
          </w:p>
        </w:tc>
        <w:tc>
          <w:tcPr>
            <w:tcW w:w="1417" w:type="dxa"/>
            <w:tcBorders>
              <w:top w:val="single" w:sz="4" w:space="0" w:color="000000"/>
              <w:left w:val="single" w:sz="4" w:space="0" w:color="000000"/>
              <w:bottom w:val="single" w:sz="4" w:space="0" w:color="000000"/>
              <w:right w:val="single" w:sz="4" w:space="0" w:color="000000"/>
            </w:tcBorders>
            <w:shd w:val="clear" w:color="auto" w:fill="CED7E7"/>
          </w:tcPr>
          <w:p w:rsidR="00C13D7A" w:rsidRPr="00537CD7" w:rsidRDefault="00537CD7">
            <w:pPr>
              <w:pStyle w:val="Af6"/>
              <w:widowControl/>
              <w:spacing w:beforeLines="50" w:before="156" w:afterLines="50" w:after="156" w:line="400" w:lineRule="exact"/>
              <w:jc w:val="left"/>
              <w:rPr>
                <w:rFonts w:ascii="宋体" w:eastAsia="PMingLiU" w:hAnsi="宋体" w:cs="Times New Roman" w:hint="eastAsia"/>
                <w:color w:val="auto"/>
                <w:lang w:val="zh-TW" w:eastAsia="zh-TW"/>
              </w:rPr>
            </w:pPr>
            <w:r>
              <w:rPr>
                <w:rFonts w:ascii="宋体" w:eastAsia="PMingLiU" w:hAnsi="宋体" w:cs="Times New Roman"/>
                <w:color w:val="auto"/>
                <w:lang w:val="zh-TW" w:eastAsia="zh-TW"/>
              </w:rPr>
              <w:t>1.24</w:t>
            </w:r>
          </w:p>
        </w:tc>
        <w:tc>
          <w:tcPr>
            <w:tcW w:w="1417" w:type="dxa"/>
            <w:tcBorders>
              <w:top w:val="single" w:sz="4" w:space="0" w:color="000000"/>
              <w:left w:val="single" w:sz="4" w:space="0" w:color="000000"/>
              <w:bottom w:val="single" w:sz="4" w:space="0" w:color="000000"/>
              <w:right w:val="single" w:sz="4" w:space="0" w:color="000000"/>
            </w:tcBorders>
            <w:shd w:val="clear" w:color="auto" w:fill="CED7E7"/>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可选项</w:t>
            </w:r>
          </w:p>
        </w:tc>
      </w:tr>
      <w:tr w:rsidR="00C13D7A">
        <w:trPr>
          <w:trHeight w:val="409"/>
          <w:jc w:val="center"/>
        </w:trPr>
        <w:tc>
          <w:tcPr>
            <w:tcW w:w="2399"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持所有绿色债券余额及折合减排情况</w:t>
            </w:r>
          </w:p>
        </w:tc>
        <w:tc>
          <w:tcPr>
            <w:tcW w:w="3686"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持有绿色债券余额（万元）</w:t>
            </w:r>
          </w:p>
        </w:tc>
        <w:tc>
          <w:tcPr>
            <w:tcW w:w="1417" w:type="dxa"/>
            <w:tcBorders>
              <w:top w:val="single" w:sz="4" w:space="0" w:color="000000"/>
              <w:left w:val="single" w:sz="4" w:space="0" w:color="000000"/>
              <w:bottom w:val="single" w:sz="4" w:space="0" w:color="000000"/>
              <w:right w:val="single" w:sz="4" w:space="0" w:color="000000"/>
            </w:tcBorders>
            <w:shd w:val="clear" w:color="auto" w:fill="CED7E7"/>
          </w:tcPr>
          <w:p w:rsidR="00C13D7A" w:rsidRDefault="00537CD7">
            <w:pPr>
              <w:pStyle w:val="Af6"/>
              <w:widowControl/>
              <w:spacing w:beforeLines="50" w:before="156" w:afterLines="50" w:after="156" w:line="400" w:lineRule="exact"/>
              <w:jc w:val="left"/>
              <w:rPr>
                <w:rFonts w:ascii="宋体" w:eastAsia="宋体" w:hAnsi="宋体" w:cs="Times New Roman"/>
                <w:color w:val="auto"/>
              </w:rPr>
            </w:pPr>
            <w:r>
              <w:rPr>
                <w:rFonts w:ascii="宋体" w:eastAsia="宋体" w:hAnsi="宋体" w:cs="Times New Roman"/>
                <w:color w:val="auto"/>
              </w:rPr>
              <w:t>9038.74</w:t>
            </w:r>
          </w:p>
        </w:tc>
        <w:tc>
          <w:tcPr>
            <w:tcW w:w="1417" w:type="dxa"/>
            <w:tcBorders>
              <w:top w:val="single" w:sz="4" w:space="0" w:color="000000"/>
              <w:left w:val="single" w:sz="4" w:space="0" w:color="000000"/>
              <w:bottom w:val="single" w:sz="4" w:space="0" w:color="000000"/>
              <w:right w:val="single" w:sz="4" w:space="0" w:color="000000"/>
            </w:tcBorders>
            <w:shd w:val="clear" w:color="auto" w:fill="CED7E7"/>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必选项</w:t>
            </w:r>
          </w:p>
        </w:tc>
      </w:tr>
      <w:tr w:rsidR="00C13D7A">
        <w:trPr>
          <w:trHeight w:val="409"/>
          <w:jc w:val="center"/>
        </w:trPr>
        <w:tc>
          <w:tcPr>
            <w:tcW w:w="2399"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C13D7A" w:rsidRDefault="00C13D7A">
            <w:pPr>
              <w:pStyle w:val="Af6"/>
              <w:widowControl/>
              <w:spacing w:beforeLines="50" w:before="156" w:afterLines="50" w:after="156" w:line="400" w:lineRule="exact"/>
              <w:jc w:val="left"/>
              <w:rPr>
                <w:rFonts w:ascii="宋体" w:eastAsia="宋体" w:hAnsi="宋体" w:cs="Times New Roman"/>
                <w:color w:val="auto"/>
                <w:lang w:val="zh-TW" w:eastAsia="zh-TW"/>
              </w:rPr>
            </w:pPr>
          </w:p>
        </w:tc>
        <w:tc>
          <w:tcPr>
            <w:tcW w:w="3686"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vAlign w:val="center"/>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折合减排二氧化碳当量（吨）</w:t>
            </w:r>
          </w:p>
        </w:tc>
        <w:tc>
          <w:tcPr>
            <w:tcW w:w="1417" w:type="dxa"/>
            <w:tcBorders>
              <w:top w:val="single" w:sz="4" w:space="0" w:color="000000"/>
              <w:left w:val="single" w:sz="4" w:space="0" w:color="000000"/>
              <w:bottom w:val="single" w:sz="4" w:space="0" w:color="000000"/>
              <w:right w:val="single" w:sz="4" w:space="0" w:color="000000"/>
            </w:tcBorders>
            <w:shd w:val="clear" w:color="auto" w:fill="CED7E7"/>
          </w:tcPr>
          <w:p w:rsidR="00C13D7A" w:rsidRDefault="00E5578A">
            <w:pPr>
              <w:pStyle w:val="Af6"/>
              <w:widowControl/>
              <w:spacing w:beforeLines="50" w:before="156" w:afterLines="50" w:after="156" w:line="400" w:lineRule="exact"/>
              <w:jc w:val="left"/>
              <w:rPr>
                <w:rFonts w:ascii="宋体" w:eastAsia="宋体" w:hAnsi="宋体" w:cs="Times New Roman"/>
                <w:color w:val="auto"/>
                <w:lang w:val="zh-TW"/>
              </w:rPr>
            </w:pPr>
            <w:r>
              <w:rPr>
                <w:rFonts w:ascii="宋体" w:eastAsia="宋体" w:hAnsi="宋体" w:cs="Times New Roman" w:hint="eastAsia"/>
                <w:color w:val="auto"/>
                <w:lang w:val="zh-TW"/>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CED7E7"/>
          </w:tcPr>
          <w:p w:rsidR="00C13D7A" w:rsidRDefault="00933E15">
            <w:pPr>
              <w:pStyle w:val="Af6"/>
              <w:spacing w:beforeLines="50" w:before="156" w:afterLines="50" w:after="156" w:line="400" w:lineRule="exact"/>
              <w:jc w:val="left"/>
              <w:rPr>
                <w:rFonts w:ascii="宋体" w:eastAsia="宋体" w:hAnsi="宋体" w:cs="Times New Roman"/>
                <w:color w:val="auto"/>
                <w:lang w:val="zh-TW" w:eastAsia="zh-TW"/>
              </w:rPr>
            </w:pPr>
            <w:r>
              <w:rPr>
                <w:rFonts w:ascii="宋体" w:eastAsia="宋体" w:hAnsi="宋体" w:cs="Times New Roman" w:hint="eastAsia"/>
                <w:color w:val="auto"/>
                <w:lang w:val="zh-TW" w:eastAsia="zh-TW"/>
              </w:rPr>
              <w:t>可选项</w:t>
            </w:r>
          </w:p>
        </w:tc>
      </w:tr>
    </w:tbl>
    <w:p w:rsidR="00C13D7A" w:rsidRDefault="00933E15">
      <w:pPr>
        <w:pStyle w:val="a0"/>
        <w:spacing w:beforeLines="0" w:before="0" w:afterLines="0" w:after="0" w:line="580" w:lineRule="exact"/>
        <w:ind w:leftChars="67" w:left="141"/>
        <w:jc w:val="both"/>
        <w:outlineLvl w:val="1"/>
        <w:rPr>
          <w:rFonts w:ascii="楷体" w:eastAsia="楷体" w:hAnsi="楷体"/>
          <w:b/>
          <w:sz w:val="32"/>
          <w:szCs w:val="32"/>
          <w:lang w:val="zh-TW" w:eastAsia="zh-TW"/>
        </w:rPr>
      </w:pPr>
      <w:bookmarkStart w:id="149" w:name="_Toc157583875"/>
      <w:r>
        <w:rPr>
          <w:rFonts w:ascii="楷体" w:eastAsia="楷体" w:hAnsi="楷体" w:hint="eastAsia"/>
          <w:b/>
          <w:sz w:val="32"/>
          <w:szCs w:val="32"/>
          <w:lang w:val="zh-TW" w:eastAsia="zh-TW"/>
        </w:rPr>
        <w:t>数据梳理、校验及保护</w:t>
      </w:r>
      <w:bookmarkEnd w:id="149"/>
    </w:p>
    <w:p w:rsidR="00C13D7A" w:rsidRDefault="00933E15">
      <w:pPr>
        <w:pStyle w:val="a0"/>
        <w:numPr>
          <w:ilvl w:val="0"/>
          <w:numId w:val="0"/>
        </w:numPr>
        <w:spacing w:beforeLines="0" w:before="0" w:afterLines="0" w:after="0" w:line="580" w:lineRule="exact"/>
        <w:ind w:left="141" w:firstLineChars="100" w:firstLine="320"/>
        <w:jc w:val="both"/>
        <w:outlineLvl w:val="1"/>
        <w:rPr>
          <w:rFonts w:ascii="楷体" w:eastAsia="楷体" w:hAnsi="楷体"/>
          <w:sz w:val="32"/>
          <w:szCs w:val="32"/>
          <w:lang w:eastAsia="zh-TW"/>
        </w:rPr>
      </w:pPr>
      <w:bookmarkStart w:id="150" w:name="_Toc39764202"/>
      <w:bookmarkStart w:id="151" w:name="_Toc157583876"/>
      <w:r>
        <w:rPr>
          <w:rFonts w:ascii="楷体" w:eastAsia="楷体" w:hAnsi="楷体" w:hint="eastAsia"/>
          <w:sz w:val="32"/>
          <w:szCs w:val="32"/>
          <w:lang w:val="zh-TW" w:eastAsia="zh-TW"/>
        </w:rPr>
        <w:t>7.3.</w:t>
      </w:r>
      <w:r>
        <w:rPr>
          <w:rFonts w:ascii="楷体" w:eastAsia="楷体" w:hAnsi="楷体"/>
          <w:sz w:val="32"/>
          <w:szCs w:val="32"/>
          <w:lang w:val="zh-TW" w:eastAsia="zh-TW"/>
        </w:rPr>
        <w:t>1</w:t>
      </w:r>
      <w:bookmarkEnd w:id="150"/>
      <w:r>
        <w:rPr>
          <w:rFonts w:ascii="楷体" w:eastAsia="楷体" w:hAnsi="楷体" w:hint="eastAsia"/>
          <w:sz w:val="32"/>
          <w:szCs w:val="32"/>
          <w:lang w:val="zh-TW" w:eastAsia="zh-TW"/>
        </w:rPr>
        <w:t>本机构绿色信贷统计数据质量开展情况</w:t>
      </w:r>
      <w:bookmarkEnd w:id="151"/>
    </w:p>
    <w:p w:rsidR="00C13D7A" w:rsidRDefault="00933E15">
      <w:pPr>
        <w:pStyle w:val="Af6"/>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本行落实专业部门专职岗位严格按照绿色信贷分类标准和报送口径执行绿色信贷数据报送工作。一是从数据源头抓起，规范信贷系统对企业信息准确维护，规范贷款用途描</w:t>
      </w:r>
      <w:r>
        <w:rPr>
          <w:rFonts w:ascii="仿宋_GB2312" w:eastAsia="仿宋_GB2312" w:hAnsi="宋体" w:cs="宋体" w:hint="eastAsia"/>
          <w:sz w:val="32"/>
          <w:szCs w:val="32"/>
        </w:rPr>
        <w:lastRenderedPageBreak/>
        <w:t>述，统一使用绿色贷款授</w:t>
      </w:r>
      <w:proofErr w:type="gramStart"/>
      <w:r>
        <w:rPr>
          <w:rFonts w:ascii="仿宋_GB2312" w:eastAsia="仿宋_GB2312" w:hAnsi="宋体" w:cs="宋体" w:hint="eastAsia"/>
          <w:sz w:val="32"/>
          <w:szCs w:val="32"/>
        </w:rPr>
        <w:t>信报告</w:t>
      </w:r>
      <w:proofErr w:type="gramEnd"/>
      <w:r>
        <w:rPr>
          <w:rFonts w:ascii="仿宋_GB2312" w:eastAsia="仿宋_GB2312" w:hAnsi="宋体" w:cs="宋体" w:hint="eastAsia"/>
          <w:sz w:val="32"/>
          <w:szCs w:val="32"/>
        </w:rPr>
        <w:t>模板。二是推行绿色信贷全流程操作管理模式，创建“绿色信贷专项审批通道”，由绿色金融部专业人员逐笔审核绿色贴标业务，</w:t>
      </w:r>
      <w:proofErr w:type="gramStart"/>
      <w:r>
        <w:rPr>
          <w:rFonts w:ascii="仿宋_GB2312" w:eastAsia="仿宋_GB2312" w:hAnsi="宋体" w:cs="宋体" w:hint="eastAsia"/>
          <w:sz w:val="32"/>
          <w:szCs w:val="32"/>
        </w:rPr>
        <w:t>准确指导</w:t>
      </w:r>
      <w:proofErr w:type="gramEnd"/>
      <w:r>
        <w:rPr>
          <w:rFonts w:ascii="仿宋_GB2312" w:eastAsia="仿宋_GB2312" w:hAnsi="宋体" w:cs="宋体" w:hint="eastAsia"/>
          <w:sz w:val="32"/>
          <w:szCs w:val="32"/>
        </w:rPr>
        <w:t>客户经理开展绿色贴标工作，对新增的绿色贷款进行重点把控，确保绿色信贷数据准确。三是推进省农信联社大信贷平台、市人行的绿色金融信息管理系统与市银保监的绿色金融监管综合信息系统实现对接，通过与客户经理约定在贷款发放时定向选择行业投向，</w:t>
      </w:r>
      <w:proofErr w:type="gramStart"/>
      <w:r>
        <w:rPr>
          <w:rFonts w:ascii="仿宋_GB2312" w:eastAsia="仿宋_GB2312" w:hAnsi="宋体" w:cs="宋体" w:hint="eastAsia"/>
          <w:sz w:val="32"/>
          <w:szCs w:val="32"/>
        </w:rPr>
        <w:t>批量对</w:t>
      </w:r>
      <w:proofErr w:type="gramEnd"/>
      <w:r>
        <w:rPr>
          <w:rFonts w:ascii="仿宋_GB2312" w:eastAsia="仿宋_GB2312" w:hAnsi="宋体" w:cs="宋体" w:hint="eastAsia"/>
          <w:sz w:val="32"/>
          <w:szCs w:val="32"/>
        </w:rPr>
        <w:t>标、报送统计报表，实现系统取数自动化。</w:t>
      </w:r>
    </w:p>
    <w:p w:rsidR="00C13D7A" w:rsidRDefault="00933E15">
      <w:pPr>
        <w:pStyle w:val="a0"/>
        <w:numPr>
          <w:ilvl w:val="0"/>
          <w:numId w:val="0"/>
        </w:numPr>
        <w:spacing w:beforeLines="0" w:before="0" w:afterLines="0" w:after="0" w:line="580" w:lineRule="exact"/>
        <w:ind w:left="141" w:firstLineChars="100" w:firstLine="320"/>
        <w:jc w:val="both"/>
        <w:outlineLvl w:val="1"/>
        <w:rPr>
          <w:rFonts w:ascii="楷体" w:eastAsia="PMingLiU" w:hAnsi="楷体"/>
          <w:sz w:val="32"/>
          <w:szCs w:val="32"/>
          <w:lang w:val="zh-TW" w:eastAsia="zh-TW"/>
        </w:rPr>
      </w:pPr>
      <w:bookmarkStart w:id="152" w:name="_Toc39764203"/>
      <w:bookmarkStart w:id="153" w:name="_Toc157583877"/>
      <w:r>
        <w:rPr>
          <w:rFonts w:ascii="楷体" w:eastAsia="楷体" w:hAnsi="楷体" w:hint="eastAsia"/>
          <w:sz w:val="32"/>
          <w:szCs w:val="32"/>
          <w:lang w:val="zh-TW" w:eastAsia="zh-TW"/>
        </w:rPr>
        <w:t>7.3.2</w:t>
      </w:r>
      <w:bookmarkEnd w:id="152"/>
      <w:r>
        <w:rPr>
          <w:rFonts w:ascii="楷体" w:eastAsia="楷体" w:hAnsi="楷体" w:hint="eastAsia"/>
          <w:b/>
          <w:sz w:val="32"/>
          <w:szCs w:val="32"/>
          <w:lang w:val="zh-TW" w:eastAsia="zh-TW"/>
        </w:rPr>
        <w:t>本机构保证数据安全工作开展情况</w:t>
      </w:r>
      <w:bookmarkEnd w:id="153"/>
    </w:p>
    <w:p w:rsidR="00C13D7A" w:rsidRDefault="00933E15">
      <w:pPr>
        <w:pStyle w:val="Af6"/>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一是配备应急主备用安全设备。本行所有重要信息系统均已部署了避免意外</w:t>
      </w:r>
      <w:proofErr w:type="gramStart"/>
      <w:r>
        <w:rPr>
          <w:rFonts w:ascii="仿宋_GB2312" w:eastAsia="仿宋_GB2312" w:hAnsi="宋体" w:cs="宋体" w:hint="eastAsia"/>
          <w:sz w:val="32"/>
          <w:szCs w:val="32"/>
        </w:rPr>
        <w:t>宕</w:t>
      </w:r>
      <w:proofErr w:type="gramEnd"/>
      <w:r>
        <w:rPr>
          <w:rFonts w:ascii="仿宋_GB2312" w:eastAsia="仿宋_GB2312" w:hAnsi="宋体" w:cs="宋体" w:hint="eastAsia"/>
          <w:sz w:val="32"/>
          <w:szCs w:val="32"/>
        </w:rPr>
        <w:t>机及网络中断的相关技术（如UPS双路供电、双</w:t>
      </w:r>
      <w:proofErr w:type="gramStart"/>
      <w:r>
        <w:rPr>
          <w:rFonts w:ascii="仿宋_GB2312" w:eastAsia="仿宋_GB2312" w:hAnsi="宋体" w:cs="宋体" w:hint="eastAsia"/>
          <w:sz w:val="32"/>
          <w:szCs w:val="32"/>
        </w:rPr>
        <w:t>机热备</w:t>
      </w:r>
      <w:proofErr w:type="gramEnd"/>
      <w:r>
        <w:rPr>
          <w:rFonts w:ascii="仿宋_GB2312" w:eastAsia="仿宋_GB2312" w:hAnsi="宋体" w:cs="宋体" w:hint="eastAsia"/>
          <w:sz w:val="32"/>
          <w:szCs w:val="32"/>
        </w:rPr>
        <w:t>、负载均衡、服务器集群、双活中心、多运营商线路接入等）。</w:t>
      </w:r>
    </w:p>
    <w:p w:rsidR="00C13D7A" w:rsidRDefault="00933E15">
      <w:pPr>
        <w:pStyle w:val="Af6"/>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是定期开展突发事件应急演练。根据《浙江省农村信用社联合社业务连续性管理办法》，明确业务连续性管理组织架构和工作内容。全面梳理相关规章制度，重新修订重要业务的业务连续性计划和应急预案（如柜面业务、信贷业务、中间业务、理财业务等）。根据计划定期不定期地开展业务连续性突发事件应急演练和</w:t>
      </w:r>
      <w:proofErr w:type="gramStart"/>
      <w:r>
        <w:rPr>
          <w:rFonts w:ascii="仿宋_GB2312" w:eastAsia="仿宋_GB2312" w:hAnsi="宋体" w:cs="宋体" w:hint="eastAsia"/>
          <w:sz w:val="32"/>
          <w:szCs w:val="32"/>
        </w:rPr>
        <w:t>信息系统灾备切换</w:t>
      </w:r>
      <w:proofErr w:type="gramEnd"/>
      <w:r>
        <w:rPr>
          <w:rFonts w:ascii="仿宋_GB2312" w:eastAsia="仿宋_GB2312" w:hAnsi="宋体" w:cs="宋体" w:hint="eastAsia"/>
          <w:sz w:val="32"/>
          <w:szCs w:val="32"/>
        </w:rPr>
        <w:t>演练。</w:t>
      </w:r>
    </w:p>
    <w:p w:rsidR="00C13D7A" w:rsidRDefault="00933E15">
      <w:pPr>
        <w:pStyle w:val="Af6"/>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是已建立全面应急预案体系。预案体系由三个层次构成：《浙江省农村合作金融机构突发事件应急预案》作为总要求和规范；《信息系统突发事件应急响应预案》作为统一的应急流程，以场景大分类为基础，突出信息系统相关场景</w:t>
      </w:r>
      <w:r>
        <w:rPr>
          <w:rFonts w:ascii="仿宋_GB2312" w:eastAsia="仿宋_GB2312" w:hAnsi="宋体" w:cs="宋体" w:hint="eastAsia"/>
          <w:sz w:val="32"/>
          <w:szCs w:val="32"/>
        </w:rPr>
        <w:lastRenderedPageBreak/>
        <w:t>应急的特殊性和响应流程、分工和策略，不涉及具体技术操作；第三个层次是各系统各场景的《应急处置技术预案》，详细描述在特定场景下进行技术处理的流程，目前已制订各类事件系统及场景的应急预案</w:t>
      </w:r>
      <w:r>
        <w:rPr>
          <w:rFonts w:ascii="仿宋_GB2312" w:eastAsia="仿宋_GB2312" w:hAnsi="宋体" w:cs="宋体"/>
          <w:sz w:val="32"/>
          <w:szCs w:val="32"/>
        </w:rPr>
        <w:t>10</w:t>
      </w:r>
      <w:r>
        <w:rPr>
          <w:rFonts w:ascii="仿宋_GB2312" w:eastAsia="仿宋_GB2312" w:hAnsi="宋体" w:cs="宋体" w:hint="eastAsia"/>
          <w:sz w:val="32"/>
          <w:szCs w:val="32"/>
        </w:rPr>
        <w:t>余项，涵盖所有关键系统及环境事件、安全事件、网络故障、应用故障等多种场景。</w:t>
      </w:r>
    </w:p>
    <w:p w:rsidR="00C13D7A" w:rsidRDefault="00933E15">
      <w:pPr>
        <w:pStyle w:val="Af6"/>
        <w:spacing w:line="580" w:lineRule="exact"/>
        <w:ind w:firstLineChars="200" w:firstLine="640"/>
        <w:rPr>
          <w:rFonts w:ascii="仿宋_GB2312" w:eastAsia="仿宋_GB2312" w:hAnsi="宋体" w:cs="宋体"/>
          <w:sz w:val="32"/>
          <w:szCs w:val="32"/>
        </w:rPr>
      </w:pPr>
      <w:r>
        <w:rPr>
          <w:rFonts w:ascii="仿宋_GB2312" w:eastAsia="仿宋_GB2312" w:hint="eastAsia"/>
          <w:sz w:val="32"/>
          <w:szCs w:val="32"/>
          <w:shd w:val="clear" w:color="auto" w:fill="FFFFFF"/>
        </w:rPr>
        <w:t>四是实现数据分级分类管理。根据《浙江德清农村商业银行股份有限公司数据安全管理办法（2023年修订）》，上线数据资产管理系统，各数据所有部门负责按照数据分类分级原则，定期开展数据完整性和准确性的校验，并通过系统进行动态优化调整，进一步加强数据安全管理，规范数据应用操作。</w:t>
      </w:r>
    </w:p>
    <w:p w:rsidR="00C13D7A" w:rsidRDefault="00933E15">
      <w:pPr>
        <w:pStyle w:val="a"/>
        <w:tabs>
          <w:tab w:val="left" w:pos="720"/>
        </w:tabs>
        <w:spacing w:beforeLines="0" w:before="0" w:afterLines="0" w:after="0" w:line="580" w:lineRule="exact"/>
        <w:outlineLvl w:val="0"/>
        <w:rPr>
          <w:rFonts w:hAnsi="黑体"/>
          <w:b/>
          <w:sz w:val="32"/>
          <w:szCs w:val="32"/>
        </w:rPr>
      </w:pPr>
      <w:bookmarkStart w:id="154" w:name="_Toc38615475"/>
      <w:bookmarkStart w:id="155" w:name="_Toc157583878"/>
      <w:bookmarkStart w:id="156" w:name="_Toc23339956"/>
      <w:bookmarkStart w:id="157" w:name="_Toc38615367"/>
      <w:bookmarkStart w:id="158" w:name="_Toc38615330"/>
      <w:bookmarkStart w:id="159" w:name="_Toc23339694"/>
      <w:r>
        <w:rPr>
          <w:rFonts w:hAnsi="黑体" w:hint="eastAsia"/>
          <w:b/>
          <w:sz w:val="32"/>
          <w:szCs w:val="32"/>
        </w:rPr>
        <w:t>绿色金融创新及研究成果</w:t>
      </w:r>
      <w:bookmarkEnd w:id="154"/>
      <w:bookmarkEnd w:id="155"/>
      <w:bookmarkEnd w:id="156"/>
      <w:bookmarkEnd w:id="157"/>
      <w:bookmarkEnd w:id="158"/>
      <w:bookmarkEnd w:id="159"/>
    </w:p>
    <w:p w:rsidR="00C13D7A" w:rsidRDefault="00933E15">
      <w:pPr>
        <w:pStyle w:val="Af6"/>
        <w:spacing w:line="560" w:lineRule="exact"/>
        <w:jc w:val="center"/>
        <w:rPr>
          <w:rFonts w:ascii="黑体" w:eastAsia="黑体" w:hAnsi="黑体" w:cs="仿宋_GB2312"/>
          <w:sz w:val="24"/>
          <w:szCs w:val="24"/>
        </w:rPr>
      </w:pPr>
      <w:r>
        <w:rPr>
          <w:rFonts w:ascii="黑体" w:eastAsia="黑体" w:hAnsi="黑体" w:cs="仿宋_GB2312" w:hint="eastAsia"/>
          <w:sz w:val="24"/>
          <w:szCs w:val="24"/>
        </w:rPr>
        <w:t xml:space="preserve">表5. 金融机构绿色金融创新案例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C13D7A">
        <w:tc>
          <w:tcPr>
            <w:tcW w:w="8302" w:type="dxa"/>
            <w:tcBorders>
              <w:top w:val="single" w:sz="4" w:space="0" w:color="auto"/>
              <w:left w:val="single" w:sz="4" w:space="0" w:color="auto"/>
              <w:bottom w:val="single" w:sz="4" w:space="0" w:color="auto"/>
              <w:right w:val="single" w:sz="4" w:space="0" w:color="auto"/>
            </w:tcBorders>
            <w:vAlign w:val="center"/>
          </w:tcPr>
          <w:p w:rsidR="006416CF" w:rsidRDefault="006416CF" w:rsidP="006416CF">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德清农商银行构建高效“绿色智慧平台”</w:t>
            </w:r>
          </w:p>
          <w:p w:rsidR="006416CF" w:rsidRPr="006416CF" w:rsidRDefault="006416CF" w:rsidP="006416CF">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管理新范式</w:t>
            </w:r>
          </w:p>
          <w:p w:rsidR="006416CF" w:rsidRDefault="006416CF" w:rsidP="006416CF">
            <w:pPr>
              <w:spacing w:line="560" w:lineRule="exact"/>
              <w:ind w:left="600"/>
              <w:rPr>
                <w:rFonts w:ascii="黑体" w:eastAsia="黑体" w:hAnsi="宋体" w:cs="黑体"/>
                <w:sz w:val="30"/>
                <w:szCs w:val="30"/>
                <w:lang w:bidi="ar"/>
              </w:rPr>
            </w:pPr>
            <w:r>
              <w:rPr>
                <w:rFonts w:ascii="黑体" w:eastAsia="黑体" w:hAnsi="宋体" w:cs="黑体" w:hint="eastAsia"/>
                <w:sz w:val="30"/>
                <w:szCs w:val="30"/>
                <w:lang w:bidi="ar"/>
              </w:rPr>
              <w:t>一、案例背景</w:t>
            </w:r>
          </w:p>
          <w:p w:rsidR="006416CF" w:rsidRDefault="006416CF" w:rsidP="006416CF">
            <w:pPr>
              <w:spacing w:line="560" w:lineRule="exact"/>
              <w:ind w:firstLine="600"/>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中共中央、国务院印发的《数字中国建设整体布局规划》为各行业带来了广阔的发展机遇，“数字化”和“绿色化”也成为经济发展的两大重要方向，为绿色金融体系建设和绿色金融可持续发展提供了有力支撑。中国人民银行印发的《金融科技发展规划（2022-2025年）》也强调了在绿色金融领域数字技术运用的重要性。</w:t>
            </w:r>
            <w:proofErr w:type="gramStart"/>
            <w:r>
              <w:rPr>
                <w:rFonts w:ascii="仿宋_GB2312" w:eastAsia="仿宋_GB2312" w:hAnsi="仿宋_GB2312" w:cs="仿宋_GB2312" w:hint="eastAsia"/>
                <w:sz w:val="28"/>
                <w:szCs w:val="28"/>
                <w:lang w:bidi="ar"/>
              </w:rPr>
              <w:t>湖州出台</w:t>
            </w:r>
            <w:proofErr w:type="gramEnd"/>
            <w:r>
              <w:rPr>
                <w:rFonts w:ascii="仿宋_GB2312" w:eastAsia="仿宋_GB2312" w:hAnsi="仿宋_GB2312" w:cs="仿宋_GB2312" w:hint="eastAsia"/>
                <w:sz w:val="28"/>
                <w:szCs w:val="28"/>
                <w:lang w:bidi="ar"/>
              </w:rPr>
              <w:t>了绿色金融2.0政策，建设企业“碳账户”综合支撑平台，利用数字化、智能化手段实现“测碳、评碳”实现“减碳、降碳”。德清农商行在上级监管部门的指导下，融合湖</w:t>
            </w:r>
            <w:r>
              <w:rPr>
                <w:rFonts w:ascii="仿宋_GB2312" w:eastAsia="仿宋_GB2312" w:hAnsi="仿宋_GB2312" w:cs="仿宋_GB2312" w:hint="eastAsia"/>
                <w:sz w:val="28"/>
                <w:szCs w:val="28"/>
                <w:lang w:bidi="ar"/>
              </w:rPr>
              <w:lastRenderedPageBreak/>
              <w:t>州前期实践成果，自主搭建综合性绿色智慧平台，通过数字科技创新赋能绿色金融长足发展，创新绿色评价体系、绿色金融产品服务模式，助力湖州绿色金融改革创新示范区建设。</w:t>
            </w:r>
          </w:p>
          <w:p w:rsidR="006416CF" w:rsidRDefault="006416CF" w:rsidP="006416CF">
            <w:pPr>
              <w:spacing w:line="560" w:lineRule="exact"/>
              <w:ind w:left="600"/>
              <w:rPr>
                <w:rFonts w:ascii="黑体" w:eastAsia="黑体" w:hAnsi="宋体" w:cs="黑体"/>
                <w:sz w:val="30"/>
                <w:szCs w:val="30"/>
                <w:lang w:bidi="ar"/>
              </w:rPr>
            </w:pPr>
            <w:r>
              <w:rPr>
                <w:rFonts w:ascii="黑体" w:eastAsia="黑体" w:hAnsi="宋体" w:cs="黑体" w:hint="eastAsia"/>
                <w:sz w:val="30"/>
                <w:szCs w:val="30"/>
                <w:lang w:bidi="ar"/>
              </w:rPr>
              <w:t>二、案例介绍</w:t>
            </w:r>
          </w:p>
          <w:p w:rsidR="006416CF" w:rsidRDefault="006416CF" w:rsidP="006416CF">
            <w:pPr>
              <w:spacing w:line="560" w:lineRule="exact"/>
              <w:ind w:firstLine="600"/>
              <w:jc w:val="left"/>
              <w:rPr>
                <w:rFonts w:ascii="仿宋_GB2312" w:eastAsia="仿宋_GB2312" w:hAnsi="仿宋_GB2312" w:cs="仿宋_GB2312"/>
                <w:sz w:val="28"/>
                <w:szCs w:val="28"/>
                <w:lang w:bidi="ar"/>
              </w:rPr>
            </w:pPr>
            <w:r>
              <w:rPr>
                <w:rFonts w:ascii="楷体_GB2312" w:eastAsia="楷体_GB2312" w:hAnsi="楷体_GB2312" w:cs="楷体_GB2312" w:hint="eastAsia"/>
                <w:sz w:val="28"/>
                <w:szCs w:val="28"/>
                <w:lang w:bidi="ar"/>
              </w:rPr>
              <w:t>（一）开发绿色工具，“碳方法”上走前列。</w:t>
            </w:r>
            <w:r>
              <w:rPr>
                <w:rFonts w:ascii="仿宋_GB2312" w:eastAsia="仿宋_GB2312" w:hAnsi="仿宋_GB2312" w:cs="仿宋_GB2312" w:hint="eastAsia"/>
                <w:sz w:val="28"/>
                <w:szCs w:val="28"/>
                <w:lang w:bidi="ar"/>
              </w:rPr>
              <w:t>成立《绿色低碳评价工具方法学研究》项目小组，并邀请国资委管理的国家智库中</w:t>
            </w:r>
            <w:proofErr w:type="gramStart"/>
            <w:r>
              <w:rPr>
                <w:rFonts w:ascii="仿宋_GB2312" w:eastAsia="仿宋_GB2312" w:hAnsi="仿宋_GB2312" w:cs="仿宋_GB2312" w:hint="eastAsia"/>
                <w:sz w:val="28"/>
                <w:szCs w:val="28"/>
                <w:lang w:bidi="ar"/>
              </w:rPr>
              <w:t>咨</w:t>
            </w:r>
            <w:proofErr w:type="gramEnd"/>
            <w:r>
              <w:rPr>
                <w:rFonts w:ascii="仿宋_GB2312" w:eastAsia="仿宋_GB2312" w:hAnsi="仿宋_GB2312" w:cs="仿宋_GB2312" w:hint="eastAsia"/>
                <w:sz w:val="28"/>
                <w:szCs w:val="28"/>
                <w:lang w:bidi="ar"/>
              </w:rPr>
              <w:t>公司参与研究指导。该项目综合考虑德清特色产业、金融业务规模、碳排放核算方法创新性等因素，选择德清农业与民宿业作为研究对象，分析确定德清农业与民宿业项目范围和边界，归纳总结主要活动过程，识别能源资源消耗和</w:t>
            </w:r>
            <w:proofErr w:type="gramStart"/>
            <w:r>
              <w:rPr>
                <w:rFonts w:ascii="仿宋_GB2312" w:eastAsia="仿宋_GB2312" w:hAnsi="仿宋_GB2312" w:cs="仿宋_GB2312" w:hint="eastAsia"/>
                <w:sz w:val="28"/>
                <w:szCs w:val="28"/>
                <w:lang w:bidi="ar"/>
              </w:rPr>
              <w:t>碳排放</w:t>
            </w:r>
            <w:proofErr w:type="gramEnd"/>
            <w:r>
              <w:rPr>
                <w:rFonts w:ascii="仿宋_GB2312" w:eastAsia="仿宋_GB2312" w:hAnsi="仿宋_GB2312" w:cs="仿宋_GB2312" w:hint="eastAsia"/>
                <w:sz w:val="28"/>
                <w:szCs w:val="28"/>
                <w:lang w:bidi="ar"/>
              </w:rPr>
              <w:t>关键环节，以IPCC、国家和省级温室气体</w:t>
            </w:r>
            <w:proofErr w:type="gramStart"/>
            <w:r>
              <w:rPr>
                <w:rFonts w:ascii="仿宋_GB2312" w:eastAsia="仿宋_GB2312" w:hAnsi="仿宋_GB2312" w:cs="仿宋_GB2312" w:hint="eastAsia"/>
                <w:sz w:val="28"/>
                <w:szCs w:val="28"/>
                <w:lang w:bidi="ar"/>
              </w:rPr>
              <w:t>清单等碳排放</w:t>
            </w:r>
            <w:proofErr w:type="gramEnd"/>
            <w:r>
              <w:rPr>
                <w:rFonts w:ascii="仿宋_GB2312" w:eastAsia="仿宋_GB2312" w:hAnsi="仿宋_GB2312" w:cs="仿宋_GB2312" w:hint="eastAsia"/>
                <w:sz w:val="28"/>
                <w:szCs w:val="28"/>
                <w:lang w:bidi="ar"/>
              </w:rPr>
              <w:t>核算方法为基础，研究提出科学适用的碳排放核算体系，建立项目绿色低碳评价机制，并形成项目绿色低碳评价体系与绿色金融产品服务模式的衔接方案，为建立绿色智慧平台提供科学碳排放计量方法论基础。</w:t>
            </w:r>
          </w:p>
          <w:p w:rsidR="006416CF" w:rsidRDefault="006416CF" w:rsidP="006416CF">
            <w:pPr>
              <w:spacing w:line="560" w:lineRule="exact"/>
              <w:ind w:firstLine="600"/>
              <w:jc w:val="left"/>
              <w:rPr>
                <w:rFonts w:ascii="仿宋_GB2312" w:eastAsia="仿宋_GB2312" w:hAnsi="仿宋_GB2312" w:cs="仿宋_GB2312"/>
                <w:sz w:val="28"/>
                <w:szCs w:val="28"/>
                <w:lang w:bidi="ar"/>
              </w:rPr>
            </w:pPr>
            <w:r>
              <w:rPr>
                <w:rFonts w:ascii="楷体_GB2312" w:eastAsia="楷体_GB2312" w:hAnsi="楷体_GB2312" w:cs="楷体_GB2312" w:hint="eastAsia"/>
                <w:sz w:val="28"/>
                <w:szCs w:val="28"/>
                <w:lang w:bidi="ar"/>
              </w:rPr>
              <w:t>（二）系统采集数据，“碳识别”上更精准。</w:t>
            </w:r>
            <w:r>
              <w:rPr>
                <w:rFonts w:ascii="仿宋_GB2312" w:eastAsia="仿宋_GB2312" w:hAnsi="仿宋_GB2312" w:cs="仿宋_GB2312" w:hint="eastAsia"/>
                <w:sz w:val="28"/>
                <w:szCs w:val="28"/>
                <w:lang w:bidi="ar"/>
              </w:rPr>
              <w:t>完善农业和民宿</w:t>
            </w:r>
            <w:proofErr w:type="gramStart"/>
            <w:r>
              <w:rPr>
                <w:rFonts w:ascii="仿宋_GB2312" w:eastAsia="仿宋_GB2312" w:hAnsi="仿宋_GB2312" w:cs="仿宋_GB2312" w:hint="eastAsia"/>
                <w:sz w:val="28"/>
                <w:szCs w:val="28"/>
                <w:lang w:bidi="ar"/>
              </w:rPr>
              <w:t>业客户</w:t>
            </w:r>
            <w:proofErr w:type="gramEnd"/>
            <w:r>
              <w:rPr>
                <w:rFonts w:ascii="仿宋_GB2312" w:eastAsia="仿宋_GB2312" w:hAnsi="仿宋_GB2312" w:cs="仿宋_GB2312" w:hint="eastAsia"/>
                <w:sz w:val="28"/>
                <w:szCs w:val="28"/>
                <w:lang w:bidi="ar"/>
              </w:rPr>
              <w:t>信息采集表，搭建内</w:t>
            </w:r>
            <w:proofErr w:type="gramStart"/>
            <w:r>
              <w:rPr>
                <w:rFonts w:ascii="仿宋_GB2312" w:eastAsia="仿宋_GB2312" w:hAnsi="仿宋_GB2312" w:cs="仿宋_GB2312" w:hint="eastAsia"/>
                <w:sz w:val="28"/>
                <w:szCs w:val="28"/>
                <w:lang w:bidi="ar"/>
              </w:rPr>
              <w:t>嵌碳方法</w:t>
            </w:r>
            <w:proofErr w:type="gramEnd"/>
            <w:r>
              <w:rPr>
                <w:rFonts w:ascii="仿宋_GB2312" w:eastAsia="仿宋_GB2312" w:hAnsi="仿宋_GB2312" w:cs="仿宋_GB2312" w:hint="eastAsia"/>
                <w:sz w:val="28"/>
                <w:szCs w:val="28"/>
                <w:lang w:bidi="ar"/>
              </w:rPr>
              <w:t>学的</w:t>
            </w:r>
            <w:proofErr w:type="gramStart"/>
            <w:r>
              <w:rPr>
                <w:rFonts w:ascii="仿宋_GB2312" w:eastAsia="仿宋_GB2312" w:hAnsi="仿宋_GB2312" w:cs="仿宋_GB2312" w:hint="eastAsia"/>
                <w:sz w:val="28"/>
                <w:szCs w:val="28"/>
                <w:lang w:bidi="ar"/>
              </w:rPr>
              <w:t>绿色碳效数据采集</w:t>
            </w:r>
            <w:proofErr w:type="gramEnd"/>
            <w:r>
              <w:rPr>
                <w:rFonts w:ascii="仿宋_GB2312" w:eastAsia="仿宋_GB2312" w:hAnsi="仿宋_GB2312" w:cs="仿宋_GB2312" w:hint="eastAsia"/>
                <w:sz w:val="28"/>
                <w:szCs w:val="28"/>
                <w:lang w:bidi="ar"/>
              </w:rPr>
              <w:t>平台，PC端和移动</w:t>
            </w:r>
            <w:proofErr w:type="gramStart"/>
            <w:r>
              <w:rPr>
                <w:rFonts w:ascii="仿宋_GB2312" w:eastAsia="仿宋_GB2312" w:hAnsi="仿宋_GB2312" w:cs="仿宋_GB2312" w:hint="eastAsia"/>
                <w:sz w:val="28"/>
                <w:szCs w:val="28"/>
                <w:lang w:bidi="ar"/>
              </w:rPr>
              <w:t>端双渠道</w:t>
            </w:r>
            <w:proofErr w:type="gramEnd"/>
            <w:r>
              <w:rPr>
                <w:rFonts w:ascii="仿宋_GB2312" w:eastAsia="仿宋_GB2312" w:hAnsi="仿宋_GB2312" w:cs="仿宋_GB2312" w:hint="eastAsia"/>
                <w:sz w:val="28"/>
                <w:szCs w:val="28"/>
                <w:lang w:bidi="ar"/>
              </w:rPr>
              <w:t>上线运用，设计水稻种植、渔业养殖、既有民宿和新建民宿基本信息调查表。采集端，客户经理输入少量基本数据和勾选信息选项；输出端，一键</w:t>
            </w:r>
            <w:proofErr w:type="gramStart"/>
            <w:r>
              <w:rPr>
                <w:rFonts w:ascii="仿宋_GB2312" w:eastAsia="仿宋_GB2312" w:hAnsi="仿宋_GB2312" w:cs="仿宋_GB2312" w:hint="eastAsia"/>
                <w:sz w:val="28"/>
                <w:szCs w:val="28"/>
                <w:lang w:bidi="ar"/>
              </w:rPr>
              <w:t>计算总碳排放量</w:t>
            </w:r>
            <w:proofErr w:type="gramEnd"/>
            <w:r>
              <w:rPr>
                <w:rFonts w:ascii="仿宋_GB2312" w:eastAsia="仿宋_GB2312" w:hAnsi="仿宋_GB2312" w:cs="仿宋_GB2312" w:hint="eastAsia"/>
                <w:sz w:val="28"/>
                <w:szCs w:val="28"/>
                <w:lang w:bidi="ar"/>
              </w:rPr>
              <w:t>、亩均碳排放量、单位面积排放量等数据指标。开发</w:t>
            </w:r>
            <w:proofErr w:type="gramStart"/>
            <w:r>
              <w:rPr>
                <w:rFonts w:ascii="仿宋_GB2312" w:eastAsia="仿宋_GB2312" w:hAnsi="仿宋_GB2312" w:cs="仿宋_GB2312" w:hint="eastAsia"/>
                <w:sz w:val="28"/>
                <w:szCs w:val="28"/>
                <w:lang w:bidi="ar"/>
              </w:rPr>
              <w:t>绿色碳效数据采集</w:t>
            </w:r>
            <w:proofErr w:type="gramEnd"/>
            <w:r>
              <w:rPr>
                <w:rFonts w:ascii="仿宋_GB2312" w:eastAsia="仿宋_GB2312" w:hAnsi="仿宋_GB2312" w:cs="仿宋_GB2312" w:hint="eastAsia"/>
                <w:sz w:val="28"/>
                <w:szCs w:val="28"/>
                <w:lang w:bidi="ar"/>
              </w:rPr>
              <w:t>平台、绿色智慧平台同步传输功能，实现智能判断绿色评价等级并测算额度和利率，构建采集—核算—</w:t>
            </w:r>
            <w:proofErr w:type="gramStart"/>
            <w:r>
              <w:rPr>
                <w:rFonts w:ascii="仿宋_GB2312" w:eastAsia="仿宋_GB2312" w:hAnsi="仿宋_GB2312" w:cs="仿宋_GB2312" w:hint="eastAsia"/>
                <w:sz w:val="28"/>
                <w:szCs w:val="28"/>
                <w:lang w:bidi="ar"/>
              </w:rPr>
              <w:t>监测全</w:t>
            </w:r>
            <w:proofErr w:type="gramEnd"/>
            <w:r>
              <w:rPr>
                <w:rFonts w:ascii="仿宋_GB2312" w:eastAsia="仿宋_GB2312" w:hAnsi="仿宋_GB2312" w:cs="仿宋_GB2312" w:hint="eastAsia"/>
                <w:sz w:val="28"/>
                <w:szCs w:val="28"/>
                <w:lang w:bidi="ar"/>
              </w:rPr>
              <w:t>链条体系。单设工业领域采集端口，通过联动人行数据引擎数据和经信</w:t>
            </w:r>
            <w:proofErr w:type="gramStart"/>
            <w:r>
              <w:rPr>
                <w:rFonts w:ascii="仿宋_GB2312" w:eastAsia="仿宋_GB2312" w:hAnsi="仿宋_GB2312" w:cs="仿宋_GB2312" w:hint="eastAsia"/>
                <w:sz w:val="28"/>
                <w:szCs w:val="28"/>
                <w:lang w:bidi="ar"/>
              </w:rPr>
              <w:t>局工业碳效</w:t>
            </w:r>
            <w:proofErr w:type="gramEnd"/>
            <w:r>
              <w:rPr>
                <w:rFonts w:ascii="仿宋_GB2312" w:eastAsia="仿宋_GB2312" w:hAnsi="仿宋_GB2312" w:cs="仿宋_GB2312" w:hint="eastAsia"/>
                <w:sz w:val="28"/>
                <w:szCs w:val="28"/>
                <w:lang w:bidi="ar"/>
              </w:rPr>
              <w:t>数据，在湖州</w:t>
            </w:r>
            <w:proofErr w:type="gramStart"/>
            <w:r>
              <w:rPr>
                <w:rFonts w:ascii="仿宋_GB2312" w:eastAsia="仿宋_GB2312" w:hAnsi="仿宋_GB2312" w:cs="仿宋_GB2312" w:hint="eastAsia"/>
                <w:sz w:val="28"/>
                <w:szCs w:val="28"/>
                <w:lang w:bidi="ar"/>
              </w:rPr>
              <w:t>政府碳效测算</w:t>
            </w:r>
            <w:proofErr w:type="gramEnd"/>
            <w:r>
              <w:rPr>
                <w:rFonts w:ascii="仿宋_GB2312" w:eastAsia="仿宋_GB2312" w:hAnsi="仿宋_GB2312" w:cs="仿宋_GB2312" w:hint="eastAsia"/>
                <w:sz w:val="28"/>
                <w:szCs w:val="28"/>
                <w:lang w:bidi="ar"/>
              </w:rPr>
              <w:t>模型加持下，通过贷前调查阶段收</w:t>
            </w:r>
            <w:r>
              <w:rPr>
                <w:rFonts w:ascii="仿宋_GB2312" w:eastAsia="仿宋_GB2312" w:hAnsi="仿宋_GB2312" w:cs="仿宋_GB2312" w:hint="eastAsia"/>
                <w:sz w:val="28"/>
                <w:szCs w:val="28"/>
                <w:lang w:bidi="ar"/>
              </w:rPr>
              <w:lastRenderedPageBreak/>
              <w:t>集企业授信所需数据资料，贷中自动抓取数据快速</w:t>
            </w:r>
            <w:proofErr w:type="gramStart"/>
            <w:r>
              <w:rPr>
                <w:rFonts w:ascii="仿宋_GB2312" w:eastAsia="仿宋_GB2312" w:hAnsi="仿宋_GB2312" w:cs="仿宋_GB2312" w:hint="eastAsia"/>
                <w:sz w:val="28"/>
                <w:szCs w:val="28"/>
                <w:lang w:bidi="ar"/>
              </w:rPr>
              <w:t>测算碳效等级</w:t>
            </w:r>
            <w:proofErr w:type="gramEnd"/>
            <w:r>
              <w:rPr>
                <w:rFonts w:ascii="仿宋_GB2312" w:eastAsia="仿宋_GB2312" w:hAnsi="仿宋_GB2312" w:cs="仿宋_GB2312" w:hint="eastAsia"/>
                <w:sz w:val="28"/>
                <w:szCs w:val="28"/>
                <w:lang w:bidi="ar"/>
              </w:rPr>
              <w:t>，同时联动配套“绿色碳效贷”产品，自动测算额度和利率优惠。</w:t>
            </w:r>
          </w:p>
          <w:p w:rsidR="006416CF" w:rsidRDefault="006416CF" w:rsidP="006416CF">
            <w:pPr>
              <w:spacing w:line="560" w:lineRule="exact"/>
              <w:ind w:firstLine="600"/>
              <w:jc w:val="left"/>
              <w:rPr>
                <w:rFonts w:ascii="仿宋_GB2312" w:eastAsia="仿宋_GB2312" w:hAnsi="仿宋_GB2312" w:cs="仿宋_GB2312"/>
                <w:sz w:val="28"/>
                <w:szCs w:val="28"/>
                <w:lang w:bidi="ar"/>
              </w:rPr>
            </w:pPr>
            <w:r>
              <w:rPr>
                <w:rFonts w:ascii="楷体_GB2312" w:eastAsia="楷体_GB2312" w:hAnsi="楷体_GB2312" w:cs="楷体_GB2312" w:hint="eastAsia"/>
                <w:sz w:val="28"/>
                <w:szCs w:val="28"/>
                <w:lang w:bidi="ar"/>
              </w:rPr>
              <w:t>（三）创建数字大屏，“碳监测”上获突破。</w:t>
            </w:r>
            <w:r>
              <w:rPr>
                <w:rFonts w:ascii="仿宋_GB2312" w:eastAsia="仿宋_GB2312" w:hAnsi="仿宋_GB2312" w:cs="仿宋_GB2312" w:hint="eastAsia"/>
                <w:sz w:val="28"/>
                <w:szCs w:val="28"/>
                <w:lang w:bidi="ar"/>
              </w:rPr>
              <w:t>建设由农业模块、民宿业模块、工业模块等组成的分模块集成显示的绿色智慧平台，通过智慧大屏滚动客户碳排放信息进行全方位监测全行三大领域的信贷</w:t>
            </w:r>
            <w:proofErr w:type="gramStart"/>
            <w:r>
              <w:rPr>
                <w:rFonts w:ascii="仿宋_GB2312" w:eastAsia="仿宋_GB2312" w:hAnsi="仿宋_GB2312" w:cs="仿宋_GB2312" w:hint="eastAsia"/>
                <w:sz w:val="28"/>
                <w:szCs w:val="28"/>
                <w:lang w:bidi="ar"/>
              </w:rPr>
              <w:t>客户碳减排</w:t>
            </w:r>
            <w:proofErr w:type="gramEnd"/>
            <w:r>
              <w:rPr>
                <w:rFonts w:ascii="仿宋_GB2312" w:eastAsia="仿宋_GB2312" w:hAnsi="仿宋_GB2312" w:cs="仿宋_GB2312" w:hint="eastAsia"/>
                <w:sz w:val="28"/>
                <w:szCs w:val="28"/>
                <w:lang w:bidi="ar"/>
              </w:rPr>
              <w:t>成效，动态展示不同时间段单个</w:t>
            </w:r>
            <w:proofErr w:type="gramStart"/>
            <w:r>
              <w:rPr>
                <w:rFonts w:ascii="仿宋_GB2312" w:eastAsia="仿宋_GB2312" w:hAnsi="仿宋_GB2312" w:cs="仿宋_GB2312" w:hint="eastAsia"/>
                <w:sz w:val="28"/>
                <w:szCs w:val="28"/>
                <w:lang w:bidi="ar"/>
              </w:rPr>
              <w:t>企业总碳排放量</w:t>
            </w:r>
            <w:proofErr w:type="gramEnd"/>
            <w:r>
              <w:rPr>
                <w:rFonts w:ascii="仿宋_GB2312" w:eastAsia="仿宋_GB2312" w:hAnsi="仿宋_GB2312" w:cs="仿宋_GB2312" w:hint="eastAsia"/>
                <w:sz w:val="28"/>
                <w:szCs w:val="28"/>
                <w:lang w:bidi="ar"/>
              </w:rPr>
              <w:t>、单位产值（亩均或单位面积）碳排放量以及信贷客户总排放量和平均排放量、信贷投放减</w:t>
            </w:r>
            <w:proofErr w:type="gramStart"/>
            <w:r>
              <w:rPr>
                <w:rFonts w:ascii="仿宋_GB2312" w:eastAsia="仿宋_GB2312" w:hAnsi="仿宋_GB2312" w:cs="仿宋_GB2312" w:hint="eastAsia"/>
                <w:sz w:val="28"/>
                <w:szCs w:val="28"/>
                <w:lang w:bidi="ar"/>
              </w:rPr>
              <w:t>排成效</w:t>
            </w:r>
            <w:proofErr w:type="gramEnd"/>
            <w:r>
              <w:rPr>
                <w:rFonts w:ascii="仿宋_GB2312" w:eastAsia="仿宋_GB2312" w:hAnsi="仿宋_GB2312" w:cs="仿宋_GB2312" w:hint="eastAsia"/>
                <w:sz w:val="28"/>
                <w:szCs w:val="28"/>
                <w:lang w:bidi="ar"/>
              </w:rPr>
              <w:t>等信息，实现动态监测农业、民宿业、工业三大领域信贷客户总排放量、平均排放量以及信贷投放后的</w:t>
            </w:r>
            <w:proofErr w:type="gramStart"/>
            <w:r>
              <w:rPr>
                <w:rFonts w:ascii="仿宋_GB2312" w:eastAsia="仿宋_GB2312" w:hAnsi="仿宋_GB2312" w:cs="仿宋_GB2312" w:hint="eastAsia"/>
                <w:sz w:val="28"/>
                <w:szCs w:val="28"/>
                <w:lang w:bidi="ar"/>
              </w:rPr>
              <w:t>碳减排成效</w:t>
            </w:r>
            <w:proofErr w:type="gramEnd"/>
            <w:r>
              <w:rPr>
                <w:rFonts w:ascii="仿宋_GB2312" w:eastAsia="仿宋_GB2312" w:hAnsi="仿宋_GB2312" w:cs="仿宋_GB2312" w:hint="eastAsia"/>
                <w:sz w:val="28"/>
                <w:szCs w:val="28"/>
                <w:lang w:bidi="ar"/>
              </w:rPr>
              <w:t>等信息。</w:t>
            </w:r>
          </w:p>
          <w:p w:rsidR="006416CF" w:rsidRDefault="006416CF" w:rsidP="006416CF">
            <w:pPr>
              <w:spacing w:line="560" w:lineRule="exact"/>
              <w:ind w:firstLine="600"/>
              <w:jc w:val="left"/>
              <w:rPr>
                <w:rFonts w:ascii="黑体" w:eastAsia="黑体" w:hAnsi="宋体" w:cs="黑体"/>
                <w:sz w:val="30"/>
                <w:szCs w:val="30"/>
                <w:lang w:bidi="ar"/>
              </w:rPr>
            </w:pPr>
            <w:r>
              <w:rPr>
                <w:rFonts w:ascii="楷体_GB2312" w:eastAsia="楷体_GB2312" w:hAnsi="楷体_GB2312" w:cs="楷体_GB2312" w:hint="eastAsia"/>
                <w:sz w:val="28"/>
                <w:szCs w:val="28"/>
                <w:lang w:bidi="ar"/>
              </w:rPr>
              <w:t>（四）丰富服务模式，“碳管理”上有创新。</w:t>
            </w:r>
            <w:r>
              <w:rPr>
                <w:rFonts w:ascii="仿宋_GB2312" w:eastAsia="仿宋_GB2312" w:hAnsi="仿宋_GB2312" w:cs="仿宋_GB2312" w:hint="eastAsia"/>
                <w:sz w:val="28"/>
                <w:szCs w:val="28"/>
                <w:lang w:bidi="ar"/>
              </w:rPr>
              <w:t>绿色智慧平台多维</w:t>
            </w:r>
            <w:proofErr w:type="gramStart"/>
            <w:r>
              <w:rPr>
                <w:rFonts w:ascii="仿宋_GB2312" w:eastAsia="仿宋_GB2312" w:hAnsi="仿宋_GB2312" w:cs="仿宋_GB2312" w:hint="eastAsia"/>
                <w:sz w:val="28"/>
                <w:szCs w:val="28"/>
                <w:lang w:bidi="ar"/>
              </w:rPr>
              <w:t>度展示</w:t>
            </w:r>
            <w:proofErr w:type="gramEnd"/>
            <w:r>
              <w:rPr>
                <w:rFonts w:ascii="仿宋_GB2312" w:eastAsia="仿宋_GB2312" w:hAnsi="仿宋_GB2312" w:cs="仿宋_GB2312" w:hint="eastAsia"/>
                <w:sz w:val="28"/>
                <w:szCs w:val="28"/>
                <w:lang w:bidi="ar"/>
              </w:rPr>
              <w:t>跟踪各领域主体碳足迹，从主体数据、区域分布等方面多方位展示碳指标，最终实现信贷客户绿色等级变化全程可追溯，</w:t>
            </w:r>
            <w:proofErr w:type="gramStart"/>
            <w:r>
              <w:rPr>
                <w:rFonts w:ascii="仿宋_GB2312" w:eastAsia="仿宋_GB2312" w:hAnsi="仿宋_GB2312" w:cs="仿宋_GB2312" w:hint="eastAsia"/>
                <w:sz w:val="28"/>
                <w:szCs w:val="28"/>
                <w:lang w:bidi="ar"/>
              </w:rPr>
              <w:t>将碳表现</w:t>
            </w:r>
            <w:proofErr w:type="gramEnd"/>
            <w:r>
              <w:rPr>
                <w:rFonts w:ascii="仿宋_GB2312" w:eastAsia="仿宋_GB2312" w:hAnsi="仿宋_GB2312" w:cs="仿宋_GB2312" w:hint="eastAsia"/>
                <w:sz w:val="28"/>
                <w:szCs w:val="28"/>
                <w:lang w:bidi="ar"/>
              </w:rPr>
              <w:t>纳入贷前、贷中、贷后管理流程，实现各主体低碳</w:t>
            </w:r>
            <w:proofErr w:type="gramStart"/>
            <w:r>
              <w:rPr>
                <w:rFonts w:ascii="仿宋_GB2312" w:eastAsia="仿宋_GB2312" w:hAnsi="仿宋_GB2312" w:cs="仿宋_GB2312" w:hint="eastAsia"/>
                <w:sz w:val="28"/>
                <w:szCs w:val="28"/>
                <w:lang w:bidi="ar"/>
              </w:rPr>
              <w:t>转型全</w:t>
            </w:r>
            <w:proofErr w:type="gramEnd"/>
            <w:r>
              <w:rPr>
                <w:rFonts w:ascii="仿宋_GB2312" w:eastAsia="仿宋_GB2312" w:hAnsi="仿宋_GB2312" w:cs="仿宋_GB2312" w:hint="eastAsia"/>
                <w:sz w:val="28"/>
                <w:szCs w:val="28"/>
                <w:lang w:bidi="ar"/>
              </w:rPr>
              <w:t>流程管理。依托绿色智慧平台功能针对性地创新低碳绿色信贷产品，同时将工业企业碳排放量纳入利率评价因子，利用金融手段提高信贷客户节能减排积极性。</w:t>
            </w:r>
          </w:p>
          <w:p w:rsidR="006416CF" w:rsidRDefault="006416CF" w:rsidP="006416CF">
            <w:pPr>
              <w:spacing w:line="560" w:lineRule="exact"/>
              <w:ind w:left="600"/>
              <w:rPr>
                <w:rFonts w:ascii="黑体" w:eastAsia="黑体" w:hAnsi="宋体" w:cs="黑体"/>
                <w:sz w:val="30"/>
                <w:szCs w:val="30"/>
                <w:lang w:bidi="ar"/>
              </w:rPr>
            </w:pPr>
            <w:r>
              <w:rPr>
                <w:rFonts w:ascii="黑体" w:eastAsia="黑体" w:hAnsi="宋体" w:cs="黑体" w:hint="eastAsia"/>
                <w:sz w:val="30"/>
                <w:szCs w:val="30"/>
                <w:lang w:bidi="ar"/>
              </w:rPr>
              <w:t>三、案例成效</w:t>
            </w:r>
          </w:p>
          <w:p w:rsidR="006416CF" w:rsidRDefault="006416CF" w:rsidP="006416CF">
            <w:pPr>
              <w:spacing w:line="560" w:lineRule="exact"/>
              <w:ind w:firstLine="600"/>
              <w:jc w:val="left"/>
              <w:rPr>
                <w:rFonts w:ascii="仿宋_GB2312" w:eastAsia="仿宋_GB2312" w:hAnsi="仿宋_GB2312" w:cs="仿宋_GB2312"/>
                <w:sz w:val="28"/>
                <w:szCs w:val="28"/>
                <w:lang w:bidi="ar"/>
              </w:rPr>
            </w:pPr>
            <w:r>
              <w:rPr>
                <w:rFonts w:ascii="楷体_GB2312" w:eastAsia="楷体_GB2312" w:hAnsi="楷体_GB2312" w:cs="楷体_GB2312" w:hint="eastAsia"/>
                <w:sz w:val="28"/>
                <w:szCs w:val="28"/>
                <w:lang w:bidi="ar"/>
              </w:rPr>
              <w:t>（一）数据获取有实效。</w:t>
            </w:r>
            <w:r>
              <w:rPr>
                <w:rFonts w:ascii="仿宋_GB2312" w:eastAsia="仿宋_GB2312" w:hAnsi="仿宋_GB2312" w:cs="仿宋_GB2312" w:hint="eastAsia"/>
                <w:sz w:val="28"/>
                <w:szCs w:val="28"/>
                <w:lang w:bidi="ar"/>
              </w:rPr>
              <w:t>首次实现人行金融数据引擎中的工业</w:t>
            </w:r>
            <w:proofErr w:type="gramStart"/>
            <w:r>
              <w:rPr>
                <w:rFonts w:ascii="仿宋_GB2312" w:eastAsia="仿宋_GB2312" w:hAnsi="仿宋_GB2312" w:cs="仿宋_GB2312" w:hint="eastAsia"/>
                <w:sz w:val="28"/>
                <w:szCs w:val="28"/>
                <w:lang w:bidi="ar"/>
              </w:rPr>
              <w:t>碳效数据</w:t>
            </w:r>
            <w:proofErr w:type="gramEnd"/>
            <w:r>
              <w:rPr>
                <w:rFonts w:ascii="仿宋_GB2312" w:eastAsia="仿宋_GB2312" w:hAnsi="仿宋_GB2312" w:cs="仿宋_GB2312" w:hint="eastAsia"/>
                <w:sz w:val="28"/>
                <w:szCs w:val="28"/>
                <w:lang w:bidi="ar"/>
              </w:rPr>
              <w:t>运用，优化业务人员数据采集系统，目前共收集</w:t>
            </w:r>
            <w:proofErr w:type="gramStart"/>
            <w:r>
              <w:rPr>
                <w:rFonts w:ascii="仿宋_GB2312" w:eastAsia="仿宋_GB2312" w:hAnsi="仿宋_GB2312" w:cs="仿宋_GB2312" w:hint="eastAsia"/>
                <w:sz w:val="28"/>
                <w:szCs w:val="28"/>
                <w:lang w:bidi="ar"/>
              </w:rPr>
              <w:t>碳效数据</w:t>
            </w:r>
            <w:proofErr w:type="gramEnd"/>
            <w:r>
              <w:rPr>
                <w:rFonts w:ascii="仿宋_GB2312" w:eastAsia="仿宋_GB2312" w:hAnsi="仿宋_GB2312" w:cs="仿宋_GB2312" w:hint="eastAsia"/>
                <w:sz w:val="28"/>
                <w:szCs w:val="28"/>
                <w:lang w:bidi="ar"/>
              </w:rPr>
              <w:t>6千余条。实现集绿色企业减排成效、绿色贷款智能化识别、全行绿色贷款动态监测为一体，有效提升业务人员开展绿色信贷业务能力。通过金融数据引擎的接口数据，构建绿色</w:t>
            </w:r>
            <w:proofErr w:type="gramStart"/>
            <w:r>
              <w:rPr>
                <w:rFonts w:ascii="仿宋_GB2312" w:eastAsia="仿宋_GB2312" w:hAnsi="仿宋_GB2312" w:cs="仿宋_GB2312" w:hint="eastAsia"/>
                <w:sz w:val="28"/>
                <w:szCs w:val="28"/>
                <w:lang w:bidi="ar"/>
              </w:rPr>
              <w:t>企业风</w:t>
            </w:r>
            <w:r>
              <w:rPr>
                <w:rFonts w:ascii="仿宋_GB2312" w:eastAsia="仿宋_GB2312" w:hAnsi="仿宋_GB2312" w:cs="仿宋_GB2312" w:hint="eastAsia"/>
                <w:sz w:val="28"/>
                <w:szCs w:val="28"/>
                <w:lang w:bidi="ar"/>
              </w:rPr>
              <w:lastRenderedPageBreak/>
              <w:t>控模型</w:t>
            </w:r>
            <w:proofErr w:type="gramEnd"/>
            <w:r>
              <w:rPr>
                <w:rFonts w:ascii="仿宋_GB2312" w:eastAsia="仿宋_GB2312" w:hAnsi="仿宋_GB2312" w:cs="仿宋_GB2312" w:hint="eastAsia"/>
                <w:sz w:val="28"/>
                <w:szCs w:val="28"/>
                <w:lang w:bidi="ar"/>
              </w:rPr>
              <w:t>和绿色农业主体评分模型，并作为外部数据优化对公客户碳画像，应用于绿色识别和风险防控方向。</w:t>
            </w:r>
          </w:p>
          <w:p w:rsidR="006416CF" w:rsidRDefault="006416CF" w:rsidP="006416CF">
            <w:pPr>
              <w:spacing w:line="560" w:lineRule="exact"/>
              <w:ind w:firstLine="600"/>
              <w:jc w:val="left"/>
              <w:rPr>
                <w:rFonts w:ascii="仿宋_GB2312" w:eastAsia="仿宋_GB2312" w:hAnsi="仿宋_GB2312" w:cs="仿宋_GB2312"/>
                <w:sz w:val="28"/>
                <w:szCs w:val="28"/>
                <w:lang w:bidi="ar"/>
              </w:rPr>
            </w:pPr>
            <w:r>
              <w:rPr>
                <w:rFonts w:ascii="楷体_GB2312" w:eastAsia="楷体_GB2312" w:hAnsi="楷体_GB2312" w:cs="楷体_GB2312" w:hint="eastAsia"/>
                <w:sz w:val="28"/>
                <w:szCs w:val="28"/>
                <w:lang w:bidi="ar"/>
              </w:rPr>
              <w:t>（二）减排核算见成效。</w:t>
            </w:r>
            <w:r>
              <w:rPr>
                <w:rFonts w:ascii="仿宋_GB2312" w:eastAsia="仿宋_GB2312" w:hAnsi="仿宋_GB2312" w:cs="仿宋_GB2312" w:hint="eastAsia"/>
                <w:sz w:val="28"/>
                <w:szCs w:val="28"/>
                <w:lang w:bidi="ar"/>
              </w:rPr>
              <w:t>创新低碳绿色信贷产品，</w:t>
            </w:r>
            <w:proofErr w:type="gramStart"/>
            <w:r>
              <w:rPr>
                <w:rFonts w:ascii="仿宋_GB2312" w:eastAsia="仿宋_GB2312" w:hAnsi="仿宋_GB2312" w:cs="仿宋_GB2312" w:hint="eastAsia"/>
                <w:sz w:val="28"/>
                <w:szCs w:val="28"/>
                <w:lang w:bidi="ar"/>
              </w:rPr>
              <w:t>同时将碳排放</w:t>
            </w:r>
            <w:proofErr w:type="gramEnd"/>
            <w:r>
              <w:rPr>
                <w:rFonts w:ascii="仿宋_GB2312" w:eastAsia="仿宋_GB2312" w:hAnsi="仿宋_GB2312" w:cs="仿宋_GB2312" w:hint="eastAsia"/>
                <w:sz w:val="28"/>
                <w:szCs w:val="28"/>
                <w:lang w:bidi="ar"/>
              </w:rPr>
              <w:t>指标纳入利率评价因子，利用金融手段提高信贷客户节能减排积极性。平台启用至今，已为2396户农业客户实现</w:t>
            </w:r>
            <w:proofErr w:type="gramStart"/>
            <w:r>
              <w:rPr>
                <w:rFonts w:ascii="仿宋_GB2312" w:eastAsia="仿宋_GB2312" w:hAnsi="仿宋_GB2312" w:cs="仿宋_GB2312" w:hint="eastAsia"/>
                <w:sz w:val="28"/>
                <w:szCs w:val="28"/>
                <w:lang w:bidi="ar"/>
              </w:rPr>
              <w:t>碳减排成效</w:t>
            </w:r>
            <w:proofErr w:type="gramEnd"/>
            <w:r>
              <w:rPr>
                <w:rFonts w:ascii="仿宋_GB2312" w:eastAsia="仿宋_GB2312" w:hAnsi="仿宋_GB2312" w:cs="仿宋_GB2312" w:hint="eastAsia"/>
                <w:sz w:val="28"/>
                <w:szCs w:val="28"/>
                <w:lang w:bidi="ar"/>
              </w:rPr>
              <w:t>动态监测，建立精准碳画像，“低碳农业绿色贷”系列产品新增2.98亿元，折合亩均减排量在12.74吨二氧化碳当量。此外，建立273户民宿业企业碳画像，“低碳民宿贷”发放2.29亿元，实现159.67吨二氧化碳当量的单位面积减排量。</w:t>
            </w:r>
          </w:p>
          <w:p w:rsidR="006416CF" w:rsidRDefault="006416CF" w:rsidP="006416CF">
            <w:pPr>
              <w:spacing w:line="560" w:lineRule="exact"/>
              <w:ind w:firstLine="600"/>
              <w:jc w:val="left"/>
              <w:rPr>
                <w:rFonts w:ascii="仿宋_GB2312" w:eastAsia="仿宋_GB2312" w:hAnsi="仿宋_GB2312" w:cs="仿宋_GB2312"/>
                <w:sz w:val="28"/>
                <w:szCs w:val="28"/>
                <w:lang w:bidi="ar"/>
              </w:rPr>
            </w:pPr>
            <w:r>
              <w:rPr>
                <w:rFonts w:ascii="楷体_GB2312" w:eastAsia="楷体_GB2312" w:hAnsi="楷体_GB2312" w:cs="楷体_GB2312" w:hint="eastAsia"/>
                <w:sz w:val="28"/>
                <w:szCs w:val="28"/>
                <w:lang w:bidi="ar"/>
              </w:rPr>
              <w:t>（三）转型金融收长效。</w:t>
            </w:r>
            <w:r>
              <w:rPr>
                <w:rFonts w:ascii="仿宋_GB2312" w:eastAsia="仿宋_GB2312" w:hAnsi="仿宋_GB2312" w:cs="仿宋_GB2312" w:hint="eastAsia"/>
                <w:sz w:val="28"/>
                <w:szCs w:val="28"/>
                <w:lang w:bidi="ar"/>
              </w:rPr>
              <w:t>联动配套“绿色碳效贷”、“绿色工厂贷”产品，自动测算额度和利率优惠，用以支持碳密集工业企业低碳转型。目前，已为3504户工业企业建立碳账户，绿色等级一键智能输出，实现绿色贷款自动识别，其中326户工业企业成功发放40.99亿元“绿色碳效贷” ，361户工业企业成功发放50.02亿元“绿色工厂贷”。</w:t>
            </w:r>
          </w:p>
          <w:p w:rsidR="006416CF" w:rsidRDefault="006416CF" w:rsidP="006416CF">
            <w:pPr>
              <w:spacing w:line="560" w:lineRule="exact"/>
              <w:ind w:firstLineChars="200" w:firstLine="600"/>
              <w:rPr>
                <w:rFonts w:ascii="仿宋_GB2312" w:eastAsia="仿宋_GB2312" w:hAnsi="仿宋_GB2312" w:cs="仿宋_GB2312"/>
                <w:szCs w:val="30"/>
              </w:rPr>
            </w:pPr>
            <w:r>
              <w:rPr>
                <w:rFonts w:ascii="黑体" w:eastAsia="黑体" w:hAnsi="宋体" w:cs="黑体" w:hint="eastAsia"/>
                <w:sz w:val="30"/>
                <w:lang w:bidi="ar"/>
              </w:rPr>
              <w:t>四、案例总结</w:t>
            </w:r>
          </w:p>
          <w:p w:rsidR="00C13D7A" w:rsidRDefault="006416CF" w:rsidP="006416CF">
            <w:pPr>
              <w:autoSpaceDE w:val="0"/>
              <w:spacing w:line="560" w:lineRule="exact"/>
              <w:ind w:firstLineChars="200" w:firstLine="560"/>
              <w:rPr>
                <w:rFonts w:ascii="仿宋_GB2312" w:eastAsia="仿宋_GB2312"/>
                <w:sz w:val="32"/>
                <w:szCs w:val="32"/>
              </w:rPr>
            </w:pPr>
            <w:r>
              <w:rPr>
                <w:rFonts w:ascii="仿宋_GB2312" w:eastAsia="仿宋_GB2312" w:hAnsi="仿宋_GB2312" w:cs="仿宋_GB2312" w:hint="eastAsia"/>
                <w:sz w:val="28"/>
                <w:szCs w:val="28"/>
                <w:lang w:bidi="ar"/>
              </w:rPr>
              <w:t>为强化绿色金融领域数字技术运用，德清农商银行创新开发“绿色智慧平台”管理系统，集“碳方法、碳识别、碳监测、碳管理”等功能为一体，广泛应用于绿色金融产品创新、绿色贷款前置管理，并在农业、工业、民宿业等重点领域初见实效。一方面，平台功能综合性强。一</w:t>
            </w:r>
            <w:proofErr w:type="gramStart"/>
            <w:r>
              <w:rPr>
                <w:rFonts w:ascii="仿宋_GB2312" w:eastAsia="仿宋_GB2312" w:hAnsi="仿宋_GB2312" w:cs="仿宋_GB2312" w:hint="eastAsia"/>
                <w:sz w:val="28"/>
                <w:szCs w:val="28"/>
                <w:lang w:bidi="ar"/>
              </w:rPr>
              <w:t>是集碳采集</w:t>
            </w:r>
            <w:proofErr w:type="gramEnd"/>
            <w:r>
              <w:rPr>
                <w:rFonts w:ascii="仿宋_GB2312" w:eastAsia="仿宋_GB2312" w:hAnsi="仿宋_GB2312" w:cs="仿宋_GB2312" w:hint="eastAsia"/>
                <w:sz w:val="28"/>
                <w:szCs w:val="28"/>
                <w:lang w:bidi="ar"/>
              </w:rPr>
              <w:t>、碳识别、碳测算和</w:t>
            </w:r>
            <w:proofErr w:type="gramStart"/>
            <w:r>
              <w:rPr>
                <w:rFonts w:ascii="仿宋_GB2312" w:eastAsia="仿宋_GB2312" w:hAnsi="仿宋_GB2312" w:cs="仿宋_GB2312" w:hint="eastAsia"/>
                <w:sz w:val="28"/>
                <w:szCs w:val="28"/>
                <w:lang w:bidi="ar"/>
              </w:rPr>
              <w:t>碳监测</w:t>
            </w:r>
            <w:proofErr w:type="gramEnd"/>
            <w:r>
              <w:rPr>
                <w:rFonts w:ascii="仿宋_GB2312" w:eastAsia="仿宋_GB2312" w:hAnsi="仿宋_GB2312" w:cs="仿宋_GB2312" w:hint="eastAsia"/>
                <w:sz w:val="28"/>
                <w:szCs w:val="28"/>
                <w:lang w:bidi="ar"/>
              </w:rPr>
              <w:t>等功能为一体，为企业节能减</w:t>
            </w:r>
            <w:proofErr w:type="gramStart"/>
            <w:r>
              <w:rPr>
                <w:rFonts w:ascii="仿宋_GB2312" w:eastAsia="仿宋_GB2312" w:hAnsi="仿宋_GB2312" w:cs="仿宋_GB2312" w:hint="eastAsia"/>
                <w:sz w:val="28"/>
                <w:szCs w:val="28"/>
                <w:lang w:bidi="ar"/>
              </w:rPr>
              <w:t>排实施</w:t>
            </w:r>
            <w:proofErr w:type="gramEnd"/>
            <w:r>
              <w:rPr>
                <w:rFonts w:ascii="仿宋_GB2312" w:eastAsia="仿宋_GB2312" w:hAnsi="仿宋_GB2312" w:cs="仿宋_GB2312" w:hint="eastAsia"/>
                <w:sz w:val="28"/>
                <w:szCs w:val="28"/>
                <w:lang w:bidi="ar"/>
              </w:rPr>
              <w:t>路径提供数据基础，配套对应绿色机制与产品服务，激发企业减排转型新动能。二是内部管理上，通过系统监测各支行绿色贷款增减情况，设置触发值，下降幅度达到</w:t>
            </w:r>
            <w:proofErr w:type="gramStart"/>
            <w:r>
              <w:rPr>
                <w:rFonts w:ascii="仿宋_GB2312" w:eastAsia="仿宋_GB2312" w:hAnsi="仿宋_GB2312" w:cs="仿宋_GB2312" w:hint="eastAsia"/>
                <w:sz w:val="28"/>
                <w:szCs w:val="28"/>
                <w:lang w:bidi="ar"/>
              </w:rPr>
              <w:t>触</w:t>
            </w:r>
            <w:r>
              <w:rPr>
                <w:rFonts w:ascii="仿宋_GB2312" w:eastAsia="仿宋_GB2312" w:hAnsi="仿宋_GB2312" w:cs="仿宋_GB2312" w:hint="eastAsia"/>
                <w:sz w:val="28"/>
                <w:szCs w:val="28"/>
                <w:lang w:bidi="ar"/>
              </w:rPr>
              <w:lastRenderedPageBreak/>
              <w:t>发值</w:t>
            </w:r>
            <w:proofErr w:type="gramEnd"/>
            <w:r>
              <w:rPr>
                <w:rFonts w:ascii="仿宋_GB2312" w:eastAsia="仿宋_GB2312" w:hAnsi="仿宋_GB2312" w:cs="仿宋_GB2312" w:hint="eastAsia"/>
                <w:sz w:val="28"/>
                <w:szCs w:val="28"/>
                <w:lang w:bidi="ar"/>
              </w:rPr>
              <w:t>后将自动启动预警流程，督促支行开展绿色信贷业务。三是多元化企业绿色标识，将平台采集到的绿色企业客户信息融入对公客户画像，至目前，已新增绿色企业、绿色项目、</w:t>
            </w:r>
            <w:proofErr w:type="gramStart"/>
            <w:r>
              <w:rPr>
                <w:rFonts w:ascii="仿宋_GB2312" w:eastAsia="仿宋_GB2312" w:hAnsi="仿宋_GB2312" w:cs="仿宋_GB2312" w:hint="eastAsia"/>
                <w:sz w:val="28"/>
                <w:szCs w:val="28"/>
                <w:lang w:bidi="ar"/>
              </w:rPr>
              <w:t>绿色碳效等</w:t>
            </w:r>
            <w:proofErr w:type="gramEnd"/>
            <w:r>
              <w:rPr>
                <w:rFonts w:ascii="仿宋_GB2312" w:eastAsia="仿宋_GB2312" w:hAnsi="仿宋_GB2312" w:cs="仿宋_GB2312" w:hint="eastAsia"/>
                <w:sz w:val="28"/>
                <w:szCs w:val="28"/>
                <w:lang w:bidi="ar"/>
              </w:rPr>
              <w:t>29个绿色相关标签，提高客户经理绿色贷款识别能力。另一方面，前置管理功能性强。通过绿色智慧平台对采集到信息的企业进行绿色评价分类，将绿色企业标志内嵌“授信审批流程”，以已认定的绿色企业、绿色项目为基础，通过“绿色贷款关键词”抓取识别，初步自动判定是否为绿色企业，结合利率定价机制，实现绿色贷款认定智能化、利率优惠智能化。</w:t>
            </w:r>
          </w:p>
        </w:tc>
      </w:tr>
    </w:tbl>
    <w:p w:rsidR="00C13D7A" w:rsidRDefault="00933E15">
      <w:pPr>
        <w:pStyle w:val="a"/>
        <w:tabs>
          <w:tab w:val="left" w:pos="720"/>
        </w:tabs>
        <w:spacing w:beforeLines="0" w:before="0" w:afterLines="0" w:after="0" w:line="580" w:lineRule="exact"/>
        <w:outlineLvl w:val="0"/>
        <w:rPr>
          <w:rFonts w:hAnsi="黑体"/>
          <w:b/>
          <w:sz w:val="32"/>
          <w:szCs w:val="32"/>
        </w:rPr>
      </w:pPr>
      <w:bookmarkStart w:id="160" w:name="_Toc38615476"/>
      <w:bookmarkStart w:id="161" w:name="_Toc38615331"/>
      <w:bookmarkStart w:id="162" w:name="_Toc38615368"/>
      <w:bookmarkStart w:id="163" w:name="_Toc157583879"/>
      <w:r>
        <w:rPr>
          <w:rFonts w:hAnsi="黑体" w:hint="eastAsia"/>
          <w:b/>
          <w:sz w:val="32"/>
          <w:szCs w:val="32"/>
        </w:rPr>
        <w:lastRenderedPageBreak/>
        <w:t>绿色项目信息</w:t>
      </w:r>
      <w:bookmarkEnd w:id="160"/>
      <w:bookmarkEnd w:id="161"/>
      <w:bookmarkEnd w:id="162"/>
      <w:bookmarkEnd w:id="163"/>
    </w:p>
    <w:p w:rsidR="00C13D7A" w:rsidRDefault="00933E15">
      <w:pPr>
        <w:spacing w:line="580" w:lineRule="exact"/>
        <w:ind w:firstLineChars="200" w:firstLine="640"/>
        <w:rPr>
          <w:rFonts w:ascii="仿宋_GB2312" w:eastAsia="仿宋_GB2312"/>
          <w:sz w:val="24"/>
        </w:rPr>
      </w:pPr>
      <w:r>
        <w:rPr>
          <w:rFonts w:ascii="仿宋_GB2312" w:eastAsia="仿宋_GB2312" w:hAnsi="宋体" w:hint="eastAsia"/>
          <w:sz w:val="32"/>
          <w:szCs w:val="32"/>
          <w:lang w:val="zh-TW"/>
        </w:rPr>
        <w:t>本行在全国银行间债券市场公开发行4亿元人民币的绿色金融债券，明确其募集</w:t>
      </w:r>
      <w:proofErr w:type="gramStart"/>
      <w:r>
        <w:rPr>
          <w:rFonts w:ascii="仿宋_GB2312" w:eastAsia="仿宋_GB2312" w:hAnsi="宋体" w:hint="eastAsia"/>
          <w:sz w:val="32"/>
          <w:szCs w:val="32"/>
          <w:lang w:val="zh-TW"/>
        </w:rPr>
        <w:t>体资金</w:t>
      </w:r>
      <w:proofErr w:type="gramEnd"/>
      <w:r>
        <w:rPr>
          <w:rFonts w:ascii="仿宋_GB2312" w:eastAsia="仿宋_GB2312" w:hAnsi="宋体" w:hint="eastAsia"/>
          <w:sz w:val="32"/>
          <w:szCs w:val="32"/>
          <w:lang w:val="zh-TW"/>
        </w:rPr>
        <w:t>专项用于绿色产业项目贷款。主要用于京杭运河（浙江段）三级航道整治工程德清段项目、德清下</w:t>
      </w:r>
      <w:proofErr w:type="gramStart"/>
      <w:r>
        <w:rPr>
          <w:rFonts w:ascii="仿宋_GB2312" w:eastAsia="仿宋_GB2312" w:hAnsi="宋体" w:hint="eastAsia"/>
          <w:sz w:val="32"/>
          <w:szCs w:val="32"/>
          <w:lang w:val="zh-TW"/>
        </w:rPr>
        <w:t>渚</w:t>
      </w:r>
      <w:proofErr w:type="gramEnd"/>
      <w:r>
        <w:rPr>
          <w:rFonts w:ascii="仿宋_GB2312" w:eastAsia="仿宋_GB2312" w:hAnsi="宋体" w:hint="eastAsia"/>
          <w:sz w:val="32"/>
          <w:szCs w:val="32"/>
          <w:lang w:val="zh-TW"/>
        </w:rPr>
        <w:t>湖生态旅游提升工程（山地黄地块湿地生态治理工程）、浙江工业大学德清校区建设工程（绿色建筑二星标准）等。但目前的绿色项目融资余额均不足1亿元。</w:t>
      </w:r>
    </w:p>
    <w:sectPr w:rsidR="00C13D7A">
      <w:headerReference w:type="default" r:id="rId9"/>
      <w:footerReference w:type="default" r:id="rId10"/>
      <w:pgSz w:w="11906" w:h="16838"/>
      <w:pgMar w:top="1440" w:right="1797" w:bottom="1440" w:left="1797" w:header="992"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C07" w:rsidRDefault="00C00C07">
      <w:r>
        <w:separator/>
      </w:r>
    </w:p>
  </w:endnote>
  <w:endnote w:type="continuationSeparator" w:id="0">
    <w:p w:rsidR="00C00C07" w:rsidRDefault="00C0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Unicode MS">
    <w:altName w:val="宋体"/>
    <w:panose1 w:val="020B0604020202020204"/>
    <w:charset w:val="86"/>
    <w:family w:val="roman"/>
    <w:pitch w:val="default"/>
    <w:sig w:usb0="FFFFFFFF" w:usb1="E9FFFFFF" w:usb2="0000003F" w:usb3="00000000" w:csb0="603F01FF" w:csb1="FFFF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PMingLiU">
    <w:altName w:val="Microsoft JhengHei"/>
    <w:panose1 w:val="02010601000101010101"/>
    <w:charset w:val="88"/>
    <w:family w:val="auto"/>
    <w:pitch w:val="default"/>
    <w:sig w:usb0="00000000" w:usb1="00000000" w:usb2="00000010" w:usb3="00000000" w:csb0="0010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9343055"/>
    </w:sdtPr>
    <w:sdtContent>
      <w:p w:rsidR="00F62BF0" w:rsidRDefault="00F62BF0">
        <w:pPr>
          <w:pStyle w:val="aa"/>
          <w:jc w:val="center"/>
        </w:pPr>
        <w:r>
          <w:fldChar w:fldCharType="begin"/>
        </w:r>
        <w:r>
          <w:instrText>PAGE   \* MERGEFORMAT</w:instrText>
        </w:r>
        <w:r>
          <w:fldChar w:fldCharType="separate"/>
        </w:r>
        <w:r>
          <w:rPr>
            <w:lang w:val="zh-CN"/>
          </w:rPr>
          <w:t>24</w:t>
        </w:r>
        <w:r>
          <w:fldChar w:fldCharType="end"/>
        </w:r>
      </w:p>
    </w:sdtContent>
  </w:sdt>
  <w:p w:rsidR="00F62BF0" w:rsidRDefault="00F62B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C07" w:rsidRDefault="00C00C07">
      <w:r>
        <w:separator/>
      </w:r>
    </w:p>
  </w:footnote>
  <w:footnote w:type="continuationSeparator" w:id="0">
    <w:p w:rsidR="00C00C07" w:rsidRDefault="00C00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BF0" w:rsidRDefault="00F62BF0">
    <w:pPr>
      <w:pStyle w:val="ac"/>
      <w:pBdr>
        <w:bottom w:val="single" w:sz="6" w:space="6" w:color="auto"/>
      </w:pBdr>
      <w:jc w:val="right"/>
    </w:pPr>
    <w:r>
      <w:rPr>
        <w:rFonts w:ascii="宋体" w:hAnsi="宋体" w:cs="宋体"/>
        <w:noProof/>
        <w:kern w:val="0"/>
        <w:sz w:val="24"/>
        <w:szCs w:val="24"/>
      </w:rPr>
      <w:drawing>
        <wp:anchor distT="0" distB="0" distL="114300" distR="114300" simplePos="0" relativeHeight="251659264" behindDoc="1" locked="0" layoutInCell="1" allowOverlap="1">
          <wp:simplePos x="0" y="0"/>
          <wp:positionH relativeFrom="margin">
            <wp:posOffset>49530</wp:posOffset>
          </wp:positionH>
          <wp:positionV relativeFrom="topMargin">
            <wp:posOffset>381000</wp:posOffset>
          </wp:positionV>
          <wp:extent cx="1573530" cy="371475"/>
          <wp:effectExtent l="0" t="0" r="762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73530" cy="371475"/>
                  </a:xfrm>
                  <a:prstGeom prst="rect">
                    <a:avLst/>
                  </a:prstGeom>
                  <a:noFill/>
                </pic:spPr>
              </pic:pic>
            </a:graphicData>
          </a:graphic>
        </wp:anchor>
      </w:drawing>
    </w:r>
    <w:r>
      <w:ptab w:relativeTo="margin" w:alignment="center" w:leader="none"/>
    </w:r>
    <w:r>
      <w:rPr>
        <w:rFonts w:hint="eastAsia"/>
      </w:rPr>
      <w:t xml:space="preserve">                  </w:t>
    </w:r>
    <w:r>
      <w:rPr>
        <w:rFonts w:hint="eastAsia"/>
        <w:b/>
      </w:rPr>
      <w:t xml:space="preserve"> 202</w:t>
    </w:r>
    <w:r>
      <w:rPr>
        <w:b/>
      </w:rPr>
      <w:t>3</w:t>
    </w:r>
    <w:r>
      <w:rPr>
        <w:rFonts w:hint="eastAsia"/>
        <w:b/>
      </w:rPr>
      <w:t>年度</w:t>
    </w:r>
    <w:r>
      <w:rPr>
        <w:b/>
      </w:rPr>
      <w:t>环境</w:t>
    </w:r>
    <w:r>
      <w:rPr>
        <w:rFonts w:hint="eastAsia"/>
        <w:b/>
      </w:rPr>
      <w:t>信息</w:t>
    </w:r>
    <w:r>
      <w:rPr>
        <w:b/>
      </w:rPr>
      <w:t>披露报告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i w:val="0"/>
        <w:sz w:val="32"/>
        <w:szCs w:val="21"/>
      </w:rPr>
    </w:lvl>
    <w:lvl w:ilvl="1">
      <w:start w:val="1"/>
      <w:numFmt w:val="decimal"/>
      <w:pStyle w:val="a0"/>
      <w:suff w:val="nothing"/>
      <w:lvlText w:val="%1.%2　"/>
      <w:lvlJc w:val="left"/>
      <w:pPr>
        <w:ind w:left="2977" w:firstLine="0"/>
      </w:pPr>
      <w:rPr>
        <w:rFonts w:ascii="楷体" w:eastAsia="楷体" w:hAnsi="Times New Roman" w:cs="Times New Roman" w:hint="eastAsia"/>
        <w:b w:val="0"/>
        <w:bCs w:val="0"/>
        <w:i w:val="0"/>
        <w:iCs w:val="0"/>
        <w:caps w:val="0"/>
        <w:strike w:val="0"/>
        <w:dstrike w:val="0"/>
        <w:outline w:val="0"/>
        <w:shadow w:val="0"/>
        <w:emboss w:val="0"/>
        <w:imprint w:val="0"/>
        <w:vanish w:val="0"/>
        <w:spacing w:val="0"/>
        <w:kern w:val="0"/>
        <w:position w:val="0"/>
        <w:sz w:val="32"/>
        <w:szCs w:val="21"/>
        <w:u w:val="none"/>
        <w:vertAlign w:val="baseline"/>
      </w:rPr>
    </w:lvl>
    <w:lvl w:ilvl="2">
      <w:start w:val="1"/>
      <w:numFmt w:val="decimal"/>
      <w:pStyle w:val="a1"/>
      <w:suff w:val="nothing"/>
      <w:lvlText w:val="%1.%2.%3　"/>
      <w:lvlJc w:val="left"/>
      <w:pPr>
        <w:ind w:left="3828" w:firstLine="0"/>
      </w:pPr>
      <w:rPr>
        <w:rFonts w:ascii="黑体" w:eastAsia="黑体" w:hAnsi="Times New Roman" w:hint="eastAsia"/>
        <w:b w:val="0"/>
        <w:i w:val="0"/>
        <w:sz w:val="21"/>
        <w:lang w:eastAsia="zh-TW"/>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A8"/>
    <w:rsid w:val="0000375E"/>
    <w:rsid w:val="00016DCB"/>
    <w:rsid w:val="00031A76"/>
    <w:rsid w:val="000510B1"/>
    <w:rsid w:val="00062A3F"/>
    <w:rsid w:val="00067C8A"/>
    <w:rsid w:val="00072036"/>
    <w:rsid w:val="00072D9C"/>
    <w:rsid w:val="00080019"/>
    <w:rsid w:val="000831BD"/>
    <w:rsid w:val="000948C0"/>
    <w:rsid w:val="000A326D"/>
    <w:rsid w:val="000B2033"/>
    <w:rsid w:val="000B48EA"/>
    <w:rsid w:val="000C15E0"/>
    <w:rsid w:val="000C34AB"/>
    <w:rsid w:val="000D6EA2"/>
    <w:rsid w:val="000E2A20"/>
    <w:rsid w:val="000E2C8C"/>
    <w:rsid w:val="000E463B"/>
    <w:rsid w:val="000E4991"/>
    <w:rsid w:val="000F1574"/>
    <w:rsid w:val="000F431B"/>
    <w:rsid w:val="000F4C3B"/>
    <w:rsid w:val="000F653D"/>
    <w:rsid w:val="00103A4A"/>
    <w:rsid w:val="00117E67"/>
    <w:rsid w:val="00120CB8"/>
    <w:rsid w:val="001306EF"/>
    <w:rsid w:val="00132DE9"/>
    <w:rsid w:val="00135440"/>
    <w:rsid w:val="001357A9"/>
    <w:rsid w:val="00136265"/>
    <w:rsid w:val="00136EB9"/>
    <w:rsid w:val="00144557"/>
    <w:rsid w:val="001466C7"/>
    <w:rsid w:val="001478EE"/>
    <w:rsid w:val="00153107"/>
    <w:rsid w:val="001678C2"/>
    <w:rsid w:val="00191B33"/>
    <w:rsid w:val="00194829"/>
    <w:rsid w:val="001C1523"/>
    <w:rsid w:val="001C32C4"/>
    <w:rsid w:val="001D6E22"/>
    <w:rsid w:val="001E6845"/>
    <w:rsid w:val="00203F91"/>
    <w:rsid w:val="00212985"/>
    <w:rsid w:val="00214691"/>
    <w:rsid w:val="00217AEA"/>
    <w:rsid w:val="002229D6"/>
    <w:rsid w:val="0023114C"/>
    <w:rsid w:val="00234C46"/>
    <w:rsid w:val="00240590"/>
    <w:rsid w:val="00257709"/>
    <w:rsid w:val="00260680"/>
    <w:rsid w:val="00263AAA"/>
    <w:rsid w:val="00277574"/>
    <w:rsid w:val="00296249"/>
    <w:rsid w:val="002A613A"/>
    <w:rsid w:val="002B1377"/>
    <w:rsid w:val="002B52D5"/>
    <w:rsid w:val="002B786D"/>
    <w:rsid w:val="002C1F11"/>
    <w:rsid w:val="002C682E"/>
    <w:rsid w:val="002E03D3"/>
    <w:rsid w:val="002E42C7"/>
    <w:rsid w:val="002E7FA7"/>
    <w:rsid w:val="002F29C9"/>
    <w:rsid w:val="0030510B"/>
    <w:rsid w:val="00322599"/>
    <w:rsid w:val="003226BB"/>
    <w:rsid w:val="00325EB9"/>
    <w:rsid w:val="00332FCD"/>
    <w:rsid w:val="00335663"/>
    <w:rsid w:val="00335719"/>
    <w:rsid w:val="0033714B"/>
    <w:rsid w:val="00341842"/>
    <w:rsid w:val="00342726"/>
    <w:rsid w:val="003544AE"/>
    <w:rsid w:val="0037470C"/>
    <w:rsid w:val="003914AF"/>
    <w:rsid w:val="003943FE"/>
    <w:rsid w:val="00394BF9"/>
    <w:rsid w:val="003B1F58"/>
    <w:rsid w:val="003B2187"/>
    <w:rsid w:val="003C01F2"/>
    <w:rsid w:val="003C049A"/>
    <w:rsid w:val="003D58B5"/>
    <w:rsid w:val="003D6FA7"/>
    <w:rsid w:val="003E7C0A"/>
    <w:rsid w:val="00403C3B"/>
    <w:rsid w:val="004159BB"/>
    <w:rsid w:val="00450B20"/>
    <w:rsid w:val="00452928"/>
    <w:rsid w:val="00453D1F"/>
    <w:rsid w:val="004628FC"/>
    <w:rsid w:val="00462D8D"/>
    <w:rsid w:val="00470C6D"/>
    <w:rsid w:val="0047318D"/>
    <w:rsid w:val="0047376E"/>
    <w:rsid w:val="00483F23"/>
    <w:rsid w:val="004847AE"/>
    <w:rsid w:val="00490402"/>
    <w:rsid w:val="00491128"/>
    <w:rsid w:val="004943A1"/>
    <w:rsid w:val="00496C96"/>
    <w:rsid w:val="004A05F5"/>
    <w:rsid w:val="004A7371"/>
    <w:rsid w:val="004C0982"/>
    <w:rsid w:val="004C7E38"/>
    <w:rsid w:val="004D7544"/>
    <w:rsid w:val="004F1F9E"/>
    <w:rsid w:val="004F5B9F"/>
    <w:rsid w:val="004F6570"/>
    <w:rsid w:val="0050419A"/>
    <w:rsid w:val="005042EB"/>
    <w:rsid w:val="00505DFD"/>
    <w:rsid w:val="00505FBE"/>
    <w:rsid w:val="0051184D"/>
    <w:rsid w:val="00517B4B"/>
    <w:rsid w:val="00537CD7"/>
    <w:rsid w:val="00544530"/>
    <w:rsid w:val="005472E4"/>
    <w:rsid w:val="00550A4B"/>
    <w:rsid w:val="0055438A"/>
    <w:rsid w:val="005544E5"/>
    <w:rsid w:val="00554C13"/>
    <w:rsid w:val="00555047"/>
    <w:rsid w:val="00583414"/>
    <w:rsid w:val="00590DFD"/>
    <w:rsid w:val="00591FD5"/>
    <w:rsid w:val="00593A1E"/>
    <w:rsid w:val="005948AA"/>
    <w:rsid w:val="00595340"/>
    <w:rsid w:val="00596F55"/>
    <w:rsid w:val="005A232F"/>
    <w:rsid w:val="005A498F"/>
    <w:rsid w:val="005A641A"/>
    <w:rsid w:val="005D2E20"/>
    <w:rsid w:val="005D4996"/>
    <w:rsid w:val="005E0891"/>
    <w:rsid w:val="005E236D"/>
    <w:rsid w:val="005E2CFD"/>
    <w:rsid w:val="005F189D"/>
    <w:rsid w:val="00605503"/>
    <w:rsid w:val="00614218"/>
    <w:rsid w:val="00617A0B"/>
    <w:rsid w:val="006340A9"/>
    <w:rsid w:val="0064149B"/>
    <w:rsid w:val="006416CF"/>
    <w:rsid w:val="00646F88"/>
    <w:rsid w:val="00656B0A"/>
    <w:rsid w:val="00656B5E"/>
    <w:rsid w:val="0066331F"/>
    <w:rsid w:val="00667A55"/>
    <w:rsid w:val="006A15B7"/>
    <w:rsid w:val="006B48CF"/>
    <w:rsid w:val="006C00C0"/>
    <w:rsid w:val="006C70FE"/>
    <w:rsid w:val="006D0B52"/>
    <w:rsid w:val="006E119C"/>
    <w:rsid w:val="006E5ADD"/>
    <w:rsid w:val="006E7B77"/>
    <w:rsid w:val="006F1349"/>
    <w:rsid w:val="00713206"/>
    <w:rsid w:val="00720654"/>
    <w:rsid w:val="00720F13"/>
    <w:rsid w:val="007247C7"/>
    <w:rsid w:val="0072548F"/>
    <w:rsid w:val="00726A87"/>
    <w:rsid w:val="007313E5"/>
    <w:rsid w:val="007434E5"/>
    <w:rsid w:val="00746AA9"/>
    <w:rsid w:val="00746AF6"/>
    <w:rsid w:val="00747CD8"/>
    <w:rsid w:val="00754EAF"/>
    <w:rsid w:val="00772D12"/>
    <w:rsid w:val="0077552B"/>
    <w:rsid w:val="007874ED"/>
    <w:rsid w:val="00790EFE"/>
    <w:rsid w:val="007948CD"/>
    <w:rsid w:val="00794A6D"/>
    <w:rsid w:val="007A2CE2"/>
    <w:rsid w:val="007A4DBA"/>
    <w:rsid w:val="007A6DAC"/>
    <w:rsid w:val="007B78C2"/>
    <w:rsid w:val="007C1A17"/>
    <w:rsid w:val="007D003B"/>
    <w:rsid w:val="007D2B75"/>
    <w:rsid w:val="007E0584"/>
    <w:rsid w:val="00802112"/>
    <w:rsid w:val="008115CC"/>
    <w:rsid w:val="008161BA"/>
    <w:rsid w:val="00817559"/>
    <w:rsid w:val="00822251"/>
    <w:rsid w:val="00841696"/>
    <w:rsid w:val="008431C9"/>
    <w:rsid w:val="008720BD"/>
    <w:rsid w:val="008824B5"/>
    <w:rsid w:val="00890265"/>
    <w:rsid w:val="00892FEC"/>
    <w:rsid w:val="00893AA4"/>
    <w:rsid w:val="00893C37"/>
    <w:rsid w:val="00894FA8"/>
    <w:rsid w:val="00895CEA"/>
    <w:rsid w:val="008B7B54"/>
    <w:rsid w:val="008F2A90"/>
    <w:rsid w:val="00900C61"/>
    <w:rsid w:val="00922EE4"/>
    <w:rsid w:val="009274C0"/>
    <w:rsid w:val="00933E15"/>
    <w:rsid w:val="009531AB"/>
    <w:rsid w:val="009553D7"/>
    <w:rsid w:val="00961D9B"/>
    <w:rsid w:val="00965738"/>
    <w:rsid w:val="00970BAD"/>
    <w:rsid w:val="00971274"/>
    <w:rsid w:val="009B1B1B"/>
    <w:rsid w:val="009B271C"/>
    <w:rsid w:val="009C59CF"/>
    <w:rsid w:val="009C65A9"/>
    <w:rsid w:val="009C69C4"/>
    <w:rsid w:val="009E0427"/>
    <w:rsid w:val="009F0515"/>
    <w:rsid w:val="009F10F1"/>
    <w:rsid w:val="00A01CF0"/>
    <w:rsid w:val="00A1194C"/>
    <w:rsid w:val="00A154AB"/>
    <w:rsid w:val="00A16DB8"/>
    <w:rsid w:val="00A22C9C"/>
    <w:rsid w:val="00A35496"/>
    <w:rsid w:val="00A35BAC"/>
    <w:rsid w:val="00A434AC"/>
    <w:rsid w:val="00A47D70"/>
    <w:rsid w:val="00A5197A"/>
    <w:rsid w:val="00A84057"/>
    <w:rsid w:val="00A86789"/>
    <w:rsid w:val="00A948E7"/>
    <w:rsid w:val="00A97D40"/>
    <w:rsid w:val="00AA41BA"/>
    <w:rsid w:val="00AB7DC7"/>
    <w:rsid w:val="00AC05A0"/>
    <w:rsid w:val="00AC5C65"/>
    <w:rsid w:val="00AC6039"/>
    <w:rsid w:val="00AD6C3C"/>
    <w:rsid w:val="00AE016E"/>
    <w:rsid w:val="00AE6A59"/>
    <w:rsid w:val="00AF5CCA"/>
    <w:rsid w:val="00B02DFB"/>
    <w:rsid w:val="00B03B14"/>
    <w:rsid w:val="00B06EC5"/>
    <w:rsid w:val="00B10F77"/>
    <w:rsid w:val="00B13BEC"/>
    <w:rsid w:val="00B26AFC"/>
    <w:rsid w:val="00B3028B"/>
    <w:rsid w:val="00B31F7A"/>
    <w:rsid w:val="00B321D7"/>
    <w:rsid w:val="00B33CB8"/>
    <w:rsid w:val="00B40311"/>
    <w:rsid w:val="00B42B99"/>
    <w:rsid w:val="00B50B97"/>
    <w:rsid w:val="00B619F5"/>
    <w:rsid w:val="00B85E0C"/>
    <w:rsid w:val="00B94C31"/>
    <w:rsid w:val="00B973E5"/>
    <w:rsid w:val="00BE0170"/>
    <w:rsid w:val="00BE283A"/>
    <w:rsid w:val="00BE7342"/>
    <w:rsid w:val="00BE7A77"/>
    <w:rsid w:val="00C00C07"/>
    <w:rsid w:val="00C1065F"/>
    <w:rsid w:val="00C13D7A"/>
    <w:rsid w:val="00C30E87"/>
    <w:rsid w:val="00C332AF"/>
    <w:rsid w:val="00C33BEF"/>
    <w:rsid w:val="00C40521"/>
    <w:rsid w:val="00C46FC1"/>
    <w:rsid w:val="00C51156"/>
    <w:rsid w:val="00C609A7"/>
    <w:rsid w:val="00C63C39"/>
    <w:rsid w:val="00C77174"/>
    <w:rsid w:val="00C95D9B"/>
    <w:rsid w:val="00CA0634"/>
    <w:rsid w:val="00CA7796"/>
    <w:rsid w:val="00CA7A48"/>
    <w:rsid w:val="00CB435E"/>
    <w:rsid w:val="00CC611E"/>
    <w:rsid w:val="00CD448A"/>
    <w:rsid w:val="00CD4974"/>
    <w:rsid w:val="00CE4B4D"/>
    <w:rsid w:val="00CF0692"/>
    <w:rsid w:val="00CF1ADB"/>
    <w:rsid w:val="00D10AA9"/>
    <w:rsid w:val="00D31771"/>
    <w:rsid w:val="00D33CFC"/>
    <w:rsid w:val="00D431D2"/>
    <w:rsid w:val="00D55414"/>
    <w:rsid w:val="00D82939"/>
    <w:rsid w:val="00D90383"/>
    <w:rsid w:val="00D93033"/>
    <w:rsid w:val="00D93C17"/>
    <w:rsid w:val="00D95032"/>
    <w:rsid w:val="00DA57D7"/>
    <w:rsid w:val="00DA7389"/>
    <w:rsid w:val="00DB1639"/>
    <w:rsid w:val="00DC4391"/>
    <w:rsid w:val="00DC4C1B"/>
    <w:rsid w:val="00DC5536"/>
    <w:rsid w:val="00DC60D3"/>
    <w:rsid w:val="00DD75B5"/>
    <w:rsid w:val="00E02EAE"/>
    <w:rsid w:val="00E21A4D"/>
    <w:rsid w:val="00E243B9"/>
    <w:rsid w:val="00E25A1C"/>
    <w:rsid w:val="00E31AB5"/>
    <w:rsid w:val="00E515DD"/>
    <w:rsid w:val="00E5578A"/>
    <w:rsid w:val="00E623BF"/>
    <w:rsid w:val="00E636AC"/>
    <w:rsid w:val="00E65501"/>
    <w:rsid w:val="00E66B0E"/>
    <w:rsid w:val="00E71323"/>
    <w:rsid w:val="00E843F9"/>
    <w:rsid w:val="00EC1734"/>
    <w:rsid w:val="00ED09F4"/>
    <w:rsid w:val="00ED2F89"/>
    <w:rsid w:val="00ED5677"/>
    <w:rsid w:val="00EE3A5B"/>
    <w:rsid w:val="00EF063B"/>
    <w:rsid w:val="00EF227B"/>
    <w:rsid w:val="00EF3FF7"/>
    <w:rsid w:val="00EF4B92"/>
    <w:rsid w:val="00F02511"/>
    <w:rsid w:val="00F02738"/>
    <w:rsid w:val="00F12AE1"/>
    <w:rsid w:val="00F12D26"/>
    <w:rsid w:val="00F1748D"/>
    <w:rsid w:val="00F22441"/>
    <w:rsid w:val="00F37C6B"/>
    <w:rsid w:val="00F40CC6"/>
    <w:rsid w:val="00F5442C"/>
    <w:rsid w:val="00F56FA7"/>
    <w:rsid w:val="00F62BF0"/>
    <w:rsid w:val="00F72299"/>
    <w:rsid w:val="00F750AC"/>
    <w:rsid w:val="00F755E9"/>
    <w:rsid w:val="00F7573C"/>
    <w:rsid w:val="00F764CD"/>
    <w:rsid w:val="00F91F5E"/>
    <w:rsid w:val="00FA1B9E"/>
    <w:rsid w:val="00FA2738"/>
    <w:rsid w:val="00FA3BB7"/>
    <w:rsid w:val="00FB0514"/>
    <w:rsid w:val="00FC3D01"/>
    <w:rsid w:val="00FD276B"/>
    <w:rsid w:val="00FD5708"/>
    <w:rsid w:val="00FE2AD0"/>
    <w:rsid w:val="00FE59AB"/>
    <w:rsid w:val="00FE5E61"/>
    <w:rsid w:val="00FE7014"/>
    <w:rsid w:val="00FF0ABC"/>
    <w:rsid w:val="00FF3531"/>
    <w:rsid w:val="00FF5A85"/>
    <w:rsid w:val="201734D0"/>
    <w:rsid w:val="2FAC4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BF20744"/>
  <w15:docId w15:val="{2DDA5DC6-338B-4D75-B236-A549E9AE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next w:val="2"/>
    <w:qFormat/>
    <w:pPr>
      <w:widowControl w:val="0"/>
      <w:jc w:val="both"/>
    </w:pPr>
    <w:rPr>
      <w:kern w:val="2"/>
      <w:sz w:val="21"/>
      <w:szCs w:val="24"/>
    </w:rPr>
  </w:style>
  <w:style w:type="paragraph" w:styleId="1">
    <w:name w:val="heading 1"/>
    <w:basedOn w:val="a2"/>
    <w:next w:val="a2"/>
    <w:link w:val="10"/>
    <w:uiPriority w:val="9"/>
    <w:qFormat/>
    <w:pPr>
      <w:keepNext/>
      <w:keepLines/>
      <w:spacing w:before="340" w:after="330" w:line="578" w:lineRule="auto"/>
      <w:outlineLvl w:val="0"/>
    </w:pPr>
    <w:rPr>
      <w:b/>
      <w:bCs/>
      <w:kern w:val="44"/>
      <w:sz w:val="44"/>
      <w:szCs w:val="44"/>
    </w:rPr>
  </w:style>
  <w:style w:type="paragraph" w:styleId="20">
    <w:name w:val="heading 2"/>
    <w:basedOn w:val="a2"/>
    <w:next w:val="a2"/>
    <w:link w:val="2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2"/>
    <w:next w:val="a2"/>
    <w:link w:val="30"/>
    <w:uiPriority w:val="9"/>
    <w:unhideWhenUsed/>
    <w:qFormat/>
    <w:pPr>
      <w:keepNext/>
      <w:keepLines/>
      <w:spacing w:before="260" w:after="260" w:line="416" w:lineRule="auto"/>
      <w:outlineLvl w:val="2"/>
    </w:pPr>
    <w:rPr>
      <w:b/>
      <w:bCs/>
      <w:sz w:val="32"/>
      <w:szCs w:val="32"/>
    </w:rPr>
  </w:style>
  <w:style w:type="paragraph" w:styleId="4">
    <w:name w:val="heading 4"/>
    <w:basedOn w:val="a2"/>
    <w:next w:val="a2"/>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
    <w:name w:val="Body Text First Indent 2"/>
    <w:basedOn w:val="a6"/>
    <w:link w:val="22"/>
    <w:uiPriority w:val="99"/>
    <w:unhideWhenUsed/>
    <w:qFormat/>
    <w:pPr>
      <w:ind w:firstLineChars="200" w:firstLine="420"/>
    </w:pPr>
  </w:style>
  <w:style w:type="paragraph" w:styleId="a6">
    <w:name w:val="Body Text Indent"/>
    <w:basedOn w:val="a2"/>
    <w:link w:val="a7"/>
    <w:uiPriority w:val="99"/>
    <w:semiHidden/>
    <w:unhideWhenUsed/>
    <w:pPr>
      <w:spacing w:after="120"/>
      <w:ind w:leftChars="200" w:left="420"/>
    </w:pPr>
  </w:style>
  <w:style w:type="paragraph" w:styleId="a8">
    <w:name w:val="Body Text"/>
    <w:basedOn w:val="a2"/>
    <w:link w:val="a9"/>
    <w:uiPriority w:val="99"/>
    <w:semiHidden/>
    <w:unhideWhenUsed/>
    <w:qFormat/>
    <w:pPr>
      <w:spacing w:after="120"/>
    </w:pPr>
  </w:style>
  <w:style w:type="paragraph" w:styleId="TOC3">
    <w:name w:val="toc 3"/>
    <w:basedOn w:val="a2"/>
    <w:next w:val="a2"/>
    <w:uiPriority w:val="39"/>
    <w:unhideWhenUsed/>
    <w:qFormat/>
    <w:pPr>
      <w:ind w:leftChars="400" w:left="840"/>
    </w:pPr>
  </w:style>
  <w:style w:type="paragraph" w:styleId="aa">
    <w:name w:val="footer"/>
    <w:basedOn w:val="a2"/>
    <w:link w:val="ab"/>
    <w:uiPriority w:val="99"/>
    <w:unhideWhenUsed/>
    <w:pPr>
      <w:tabs>
        <w:tab w:val="center" w:pos="4153"/>
        <w:tab w:val="right" w:pos="8306"/>
      </w:tabs>
      <w:snapToGrid w:val="0"/>
      <w:jc w:val="left"/>
    </w:pPr>
    <w:rPr>
      <w:sz w:val="18"/>
      <w:szCs w:val="18"/>
    </w:rPr>
  </w:style>
  <w:style w:type="paragraph" w:styleId="ac">
    <w:name w:val="header"/>
    <w:basedOn w:val="a2"/>
    <w:link w:val="ad"/>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unhideWhenUsed/>
    <w:qFormat/>
  </w:style>
  <w:style w:type="paragraph" w:styleId="TOC4">
    <w:name w:val="toc 4"/>
    <w:basedOn w:val="a2"/>
    <w:next w:val="a2"/>
    <w:uiPriority w:val="39"/>
    <w:unhideWhenUsed/>
    <w:qFormat/>
    <w:pPr>
      <w:ind w:leftChars="600" w:left="1260"/>
    </w:pPr>
  </w:style>
  <w:style w:type="paragraph" w:styleId="ae">
    <w:name w:val="Subtitle"/>
    <w:basedOn w:val="a2"/>
    <w:next w:val="a2"/>
    <w:link w:val="af"/>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TOC2">
    <w:name w:val="toc 2"/>
    <w:basedOn w:val="a2"/>
    <w:next w:val="a2"/>
    <w:uiPriority w:val="39"/>
    <w:unhideWhenUsed/>
    <w:qFormat/>
    <w:pPr>
      <w:tabs>
        <w:tab w:val="right" w:leader="dot" w:pos="8302"/>
      </w:tabs>
      <w:spacing w:line="240" w:lineRule="atLeast"/>
      <w:ind w:leftChars="200" w:left="420"/>
    </w:pPr>
    <w:rPr>
      <w:rFonts w:ascii="楷体" w:eastAsia="楷体" w:hAnsi="楷体" w:cs="黑体"/>
      <w:b/>
    </w:rPr>
  </w:style>
  <w:style w:type="paragraph" w:styleId="af0">
    <w:name w:val="Normal (Web)"/>
    <w:basedOn w:val="a2"/>
    <w:uiPriority w:val="99"/>
    <w:semiHidden/>
    <w:unhideWhenUsed/>
    <w:pPr>
      <w:spacing w:before="100" w:beforeAutospacing="1" w:after="100" w:afterAutospacing="1"/>
      <w:jc w:val="left"/>
    </w:pPr>
    <w:rPr>
      <w:rFonts w:ascii="Calibri" w:hAnsi="Calibri" w:cs="Calibri"/>
      <w:kern w:val="0"/>
      <w:sz w:val="24"/>
    </w:rPr>
  </w:style>
  <w:style w:type="paragraph" w:styleId="af1">
    <w:name w:val="Title"/>
    <w:basedOn w:val="a2"/>
    <w:next w:val="a2"/>
    <w:link w:val="af2"/>
    <w:uiPriority w:val="10"/>
    <w:qFormat/>
    <w:pPr>
      <w:spacing w:before="240" w:after="60"/>
      <w:jc w:val="center"/>
      <w:outlineLvl w:val="0"/>
    </w:pPr>
    <w:rPr>
      <w:rFonts w:asciiTheme="majorHAnsi" w:eastAsiaTheme="majorEastAsia" w:hAnsiTheme="majorHAnsi" w:cstheme="majorBidi"/>
      <w:b/>
      <w:bCs/>
      <w:sz w:val="32"/>
      <w:szCs w:val="32"/>
    </w:rPr>
  </w:style>
  <w:style w:type="table" w:styleId="af3">
    <w:name w:val="Table Grid"/>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3"/>
    <w:uiPriority w:val="99"/>
    <w:unhideWhenUsed/>
    <w:rPr>
      <w:color w:val="0563C1" w:themeColor="hyperlink"/>
      <w:u w:val="single"/>
    </w:rPr>
  </w:style>
  <w:style w:type="character" w:customStyle="1" w:styleId="ad">
    <w:name w:val="页眉 字符"/>
    <w:basedOn w:val="a3"/>
    <w:link w:val="ac"/>
    <w:uiPriority w:val="99"/>
    <w:rPr>
      <w:sz w:val="18"/>
      <w:szCs w:val="18"/>
    </w:rPr>
  </w:style>
  <w:style w:type="character" w:customStyle="1" w:styleId="ab">
    <w:name w:val="页脚 字符"/>
    <w:basedOn w:val="a3"/>
    <w:link w:val="aa"/>
    <w:uiPriority w:val="99"/>
    <w:rPr>
      <w:sz w:val="18"/>
      <w:szCs w:val="18"/>
    </w:rPr>
  </w:style>
  <w:style w:type="paragraph" w:customStyle="1" w:styleId="a0">
    <w:name w:val="一级条标题"/>
    <w:next w:val="af5"/>
    <w:pPr>
      <w:numPr>
        <w:ilvl w:val="1"/>
        <w:numId w:val="1"/>
      </w:numPr>
      <w:spacing w:beforeLines="50" w:before="156" w:afterLines="50" w:after="156"/>
      <w:ind w:left="567"/>
      <w:outlineLvl w:val="2"/>
    </w:pPr>
    <w:rPr>
      <w:rFonts w:ascii="黑体" w:eastAsia="黑体"/>
      <w:sz w:val="21"/>
      <w:szCs w:val="21"/>
    </w:rPr>
  </w:style>
  <w:style w:type="paragraph" w:customStyle="1" w:styleId="af5">
    <w:name w:val="段"/>
    <w:uiPriority w:val="2"/>
    <w:qFormat/>
    <w:pPr>
      <w:tabs>
        <w:tab w:val="center" w:pos="4201"/>
        <w:tab w:val="right" w:leader="dot" w:pos="9298"/>
      </w:tabs>
      <w:autoSpaceDE w:val="0"/>
      <w:autoSpaceDN w:val="0"/>
      <w:ind w:firstLineChars="200" w:firstLine="420"/>
      <w:jc w:val="both"/>
    </w:pPr>
    <w:rPr>
      <w:rFonts w:ascii="宋体"/>
      <w:sz w:val="21"/>
    </w:rPr>
  </w:style>
  <w:style w:type="paragraph" w:customStyle="1" w:styleId="Af6">
    <w:name w:val="正文 A"/>
    <w:qFormat/>
    <w:pPr>
      <w:widowControl w:val="0"/>
      <w:jc w:val="both"/>
    </w:pPr>
    <w:rPr>
      <w:rFonts w:eastAsia="Arial Unicode MS" w:cs="Arial Unicode MS"/>
      <w:color w:val="000000"/>
      <w:kern w:val="2"/>
      <w:sz w:val="21"/>
      <w:szCs w:val="21"/>
      <w:u w:color="000000"/>
    </w:rPr>
  </w:style>
  <w:style w:type="character" w:customStyle="1" w:styleId="a7">
    <w:name w:val="正文文本缩进 字符"/>
    <w:basedOn w:val="a3"/>
    <w:link w:val="a6"/>
    <w:uiPriority w:val="99"/>
    <w:semiHidden/>
    <w:rPr>
      <w:rFonts w:ascii="Times New Roman" w:eastAsia="宋体" w:hAnsi="Times New Roman" w:cs="Times New Roman"/>
      <w:szCs w:val="24"/>
    </w:rPr>
  </w:style>
  <w:style w:type="character" w:customStyle="1" w:styleId="22">
    <w:name w:val="正文文本首行缩进 2 字符"/>
    <w:basedOn w:val="a7"/>
    <w:link w:val="2"/>
    <w:uiPriority w:val="99"/>
    <w:rPr>
      <w:rFonts w:ascii="Times New Roman" w:eastAsia="宋体" w:hAnsi="Times New Roman" w:cs="Times New Roman"/>
      <w:szCs w:val="24"/>
    </w:rPr>
  </w:style>
  <w:style w:type="paragraph" w:customStyle="1" w:styleId="a">
    <w:name w:val="章标题"/>
    <w:next w:val="af5"/>
    <w:pPr>
      <w:numPr>
        <w:numId w:val="1"/>
      </w:numPr>
      <w:spacing w:beforeLines="100" w:before="312" w:afterLines="100" w:after="312"/>
      <w:jc w:val="both"/>
      <w:outlineLvl w:val="1"/>
    </w:pPr>
    <w:rPr>
      <w:rFonts w:ascii="黑体" w:eastAsia="黑体"/>
      <w:sz w:val="21"/>
    </w:rPr>
  </w:style>
  <w:style w:type="paragraph" w:customStyle="1" w:styleId="a1">
    <w:name w:val="二级无"/>
    <w:basedOn w:val="a2"/>
    <w:pPr>
      <w:widowControl/>
      <w:numPr>
        <w:ilvl w:val="2"/>
        <w:numId w:val="1"/>
      </w:numPr>
      <w:jc w:val="left"/>
      <w:outlineLvl w:val="3"/>
    </w:pPr>
    <w:rPr>
      <w:rFonts w:ascii="宋体"/>
      <w:kern w:val="0"/>
      <w:szCs w:val="21"/>
    </w:rPr>
  </w:style>
  <w:style w:type="character" w:customStyle="1" w:styleId="af2">
    <w:name w:val="标题 字符"/>
    <w:basedOn w:val="a3"/>
    <w:link w:val="af1"/>
    <w:uiPriority w:val="10"/>
    <w:rPr>
      <w:rFonts w:asciiTheme="majorHAnsi" w:eastAsiaTheme="majorEastAsia" w:hAnsiTheme="majorHAnsi" w:cstheme="majorBidi"/>
      <w:b/>
      <w:bCs/>
      <w:sz w:val="32"/>
      <w:szCs w:val="32"/>
    </w:rPr>
  </w:style>
  <w:style w:type="character" w:customStyle="1" w:styleId="10">
    <w:name w:val="标题 1 字符"/>
    <w:basedOn w:val="a3"/>
    <w:link w:val="1"/>
    <w:uiPriority w:val="9"/>
    <w:rPr>
      <w:rFonts w:ascii="Times New Roman" w:eastAsia="宋体" w:hAnsi="Times New Roman" w:cs="Times New Roman"/>
      <w:b/>
      <w:bCs/>
      <w:kern w:val="44"/>
      <w:sz w:val="44"/>
      <w:szCs w:val="44"/>
    </w:rPr>
  </w:style>
  <w:style w:type="character" w:customStyle="1" w:styleId="a9">
    <w:name w:val="正文文本 字符"/>
    <w:basedOn w:val="a3"/>
    <w:link w:val="a8"/>
    <w:uiPriority w:val="99"/>
    <w:semiHidden/>
    <w:qFormat/>
    <w:rPr>
      <w:rFonts w:ascii="Times New Roman" w:eastAsia="宋体" w:hAnsi="Times New Roman" w:cs="Times New Roman"/>
      <w:szCs w:val="24"/>
    </w:rPr>
  </w:style>
  <w:style w:type="paragraph" w:styleId="af7">
    <w:name w:val="List Paragraph"/>
    <w:basedOn w:val="a2"/>
    <w:uiPriority w:val="34"/>
    <w:qFormat/>
    <w:pPr>
      <w:ind w:firstLineChars="200" w:firstLine="420"/>
    </w:pPr>
  </w:style>
  <w:style w:type="paragraph" w:customStyle="1" w:styleId="TOC10">
    <w:name w:val="TOC 标题1"/>
    <w:basedOn w:val="1"/>
    <w:next w:val="a2"/>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30">
    <w:name w:val="标题 3 字符"/>
    <w:basedOn w:val="a3"/>
    <w:link w:val="3"/>
    <w:uiPriority w:val="9"/>
    <w:qFormat/>
    <w:rPr>
      <w:rFonts w:ascii="Times New Roman" w:eastAsia="宋体" w:hAnsi="Times New Roman" w:cs="Times New Roman"/>
      <w:b/>
      <w:bCs/>
      <w:sz w:val="32"/>
      <w:szCs w:val="32"/>
    </w:rPr>
  </w:style>
  <w:style w:type="character" w:customStyle="1" w:styleId="21">
    <w:name w:val="标题 2 字符"/>
    <w:basedOn w:val="a3"/>
    <w:link w:val="20"/>
    <w:uiPriority w:val="9"/>
    <w:qFormat/>
    <w:rPr>
      <w:rFonts w:asciiTheme="majorHAnsi" w:eastAsiaTheme="majorEastAsia" w:hAnsiTheme="majorHAnsi" w:cstheme="majorBidi"/>
      <w:b/>
      <w:bCs/>
      <w:sz w:val="32"/>
      <w:szCs w:val="32"/>
    </w:rPr>
  </w:style>
  <w:style w:type="character" w:customStyle="1" w:styleId="40">
    <w:name w:val="标题 4 字符"/>
    <w:basedOn w:val="a3"/>
    <w:link w:val="4"/>
    <w:uiPriority w:val="9"/>
    <w:rPr>
      <w:rFonts w:asciiTheme="majorHAnsi" w:eastAsiaTheme="majorEastAsia" w:hAnsiTheme="majorHAnsi" w:cstheme="majorBidi"/>
      <w:b/>
      <w:bCs/>
      <w:sz w:val="28"/>
      <w:szCs w:val="28"/>
    </w:rPr>
  </w:style>
  <w:style w:type="paragraph" w:customStyle="1" w:styleId="23">
    <w:name w:val="标题2"/>
    <w:basedOn w:val="ae"/>
    <w:pPr>
      <w:spacing w:before="0" w:after="0" w:line="560" w:lineRule="exact"/>
      <w:ind w:firstLineChars="200" w:firstLine="200"/>
      <w:jc w:val="both"/>
    </w:pPr>
    <w:rPr>
      <w:rFonts w:ascii="楷体_GB2312" w:eastAsia="楷体_GB2312" w:hAnsi="Cambria" w:cs="Times New Roman"/>
      <w:u w:color="000000"/>
    </w:rPr>
  </w:style>
  <w:style w:type="character" w:customStyle="1" w:styleId="af">
    <w:name w:val="副标题 字符"/>
    <w:basedOn w:val="a3"/>
    <w:link w:val="ae"/>
    <w:uiPriority w:val="11"/>
    <w:rPr>
      <w:b/>
      <w:bCs/>
      <w:kern w:val="28"/>
      <w:sz w:val="32"/>
      <w:szCs w:val="32"/>
    </w:rPr>
  </w:style>
  <w:style w:type="character" w:customStyle="1" w:styleId="15">
    <w:name w:val="15"/>
    <w:basedOn w:val="a3"/>
    <w:rPr>
      <w:rFonts w:ascii="宋体" w:eastAsia="宋体" w:hAnsi="宋体" w:hint="eastAsia"/>
      <w:b/>
      <w:bCs/>
    </w:rPr>
  </w:style>
  <w:style w:type="paragraph" w:customStyle="1" w:styleId="11">
    <w:name w:val="正文1"/>
    <w:pPr>
      <w:jc w:val="both"/>
    </w:pPr>
    <w:rPr>
      <w:rFonts w:ascii="等线" w:hAnsi="等线"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98835">
      <w:bodyDiv w:val="1"/>
      <w:marLeft w:val="0"/>
      <w:marRight w:val="0"/>
      <w:marTop w:val="0"/>
      <w:marBottom w:val="0"/>
      <w:divBdr>
        <w:top w:val="none" w:sz="0" w:space="0" w:color="auto"/>
        <w:left w:val="none" w:sz="0" w:space="0" w:color="auto"/>
        <w:bottom w:val="none" w:sz="0" w:space="0" w:color="auto"/>
        <w:right w:val="none" w:sz="0" w:space="0" w:color="auto"/>
      </w:divBdr>
    </w:div>
    <w:div w:id="1533568395">
      <w:bodyDiv w:val="1"/>
      <w:marLeft w:val="0"/>
      <w:marRight w:val="0"/>
      <w:marTop w:val="0"/>
      <w:marBottom w:val="0"/>
      <w:divBdr>
        <w:top w:val="none" w:sz="0" w:space="0" w:color="auto"/>
        <w:left w:val="none" w:sz="0" w:space="0" w:color="auto"/>
        <w:bottom w:val="none" w:sz="0" w:space="0" w:color="auto"/>
        <w:right w:val="none" w:sz="0" w:space="0" w:color="auto"/>
      </w:divBdr>
    </w:div>
    <w:div w:id="1610549241">
      <w:bodyDiv w:val="1"/>
      <w:marLeft w:val="0"/>
      <w:marRight w:val="0"/>
      <w:marTop w:val="0"/>
      <w:marBottom w:val="0"/>
      <w:divBdr>
        <w:top w:val="none" w:sz="0" w:space="0" w:color="auto"/>
        <w:left w:val="none" w:sz="0" w:space="0" w:color="auto"/>
        <w:bottom w:val="none" w:sz="0" w:space="0" w:color="auto"/>
        <w:right w:val="none" w:sz="0" w:space="0" w:color="auto"/>
      </w:divBdr>
    </w:div>
    <w:div w:id="1698699850">
      <w:bodyDiv w:val="1"/>
      <w:marLeft w:val="0"/>
      <w:marRight w:val="0"/>
      <w:marTop w:val="0"/>
      <w:marBottom w:val="0"/>
      <w:divBdr>
        <w:top w:val="none" w:sz="0" w:space="0" w:color="auto"/>
        <w:left w:val="none" w:sz="0" w:space="0" w:color="auto"/>
        <w:bottom w:val="none" w:sz="0" w:space="0" w:color="auto"/>
        <w:right w:val="none" w:sz="0" w:space="0" w:color="auto"/>
      </w:divBdr>
    </w:div>
    <w:div w:id="1868986155">
      <w:bodyDiv w:val="1"/>
      <w:marLeft w:val="0"/>
      <w:marRight w:val="0"/>
      <w:marTop w:val="0"/>
      <w:marBottom w:val="0"/>
      <w:divBdr>
        <w:top w:val="none" w:sz="0" w:space="0" w:color="auto"/>
        <w:left w:val="none" w:sz="0" w:space="0" w:color="auto"/>
        <w:bottom w:val="none" w:sz="0" w:space="0" w:color="auto"/>
        <w:right w:val="none" w:sz="0" w:space="0" w:color="auto"/>
      </w:divBdr>
    </w:div>
    <w:div w:id="1902448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2591</TotalTime>
  <Pages>28</Pages>
  <Words>2699</Words>
  <Characters>15388</Characters>
  <Application>Microsoft Office Word</Application>
  <DocSecurity>0</DocSecurity>
  <Lines>128</Lines>
  <Paragraphs>36</Paragraphs>
  <ScaleCrop>false</ScaleCrop>
  <Manager>蒋励</Manager>
  <Company>Microsoft</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蒋励</dc:creator>
  <cp:lastModifiedBy>张彩燕(8813251)</cp:lastModifiedBy>
  <cp:revision>44</cp:revision>
  <dcterms:created xsi:type="dcterms:W3CDTF">2021-04-30T06:01:00Z</dcterms:created>
  <dcterms:modified xsi:type="dcterms:W3CDTF">2025-03-28T08:52:00Z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